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767"/>
        <w:gridCol w:w="4032"/>
        <w:gridCol w:w="1503"/>
      </w:tblGrid>
      <w:tr w:rsidR="00DA7F22" w14:paraId="36063564" w14:textId="77777777" w:rsidTr="00AA5BA4">
        <w:tc>
          <w:tcPr>
            <w:tcW w:w="8302" w:type="dxa"/>
            <w:gridSpan w:val="3"/>
            <w:shd w:val="clear" w:color="auto" w:fill="D9D9D9" w:themeFill="background1" w:themeFillShade="D9"/>
          </w:tcPr>
          <w:p w14:paraId="1E441C81" w14:textId="77777777" w:rsidR="00DA7F22" w:rsidRPr="00046353" w:rsidRDefault="00DA7F22" w:rsidP="00AA5BA4">
            <w:pPr>
              <w:spacing w:before="60" w:after="60"/>
              <w:jc w:val="center"/>
              <w:rPr>
                <w:rFonts w:ascii="Arial" w:hAnsi="Arial" w:cs="Arial"/>
                <w:b/>
                <w:bCs/>
                <w:szCs w:val="22"/>
              </w:rPr>
            </w:pPr>
            <w:r>
              <w:rPr>
                <w:rFonts w:ascii="Arial" w:hAnsi="Arial" w:cs="Arial"/>
                <w:b/>
                <w:bCs/>
                <w:szCs w:val="22"/>
              </w:rPr>
              <w:t>Camden Local Environmental Plan 2010 (Camden LEP)</w:t>
            </w:r>
          </w:p>
        </w:tc>
      </w:tr>
      <w:tr w:rsidR="00DA7F22" w14:paraId="759FD1E3" w14:textId="77777777" w:rsidTr="00AA5BA4">
        <w:tc>
          <w:tcPr>
            <w:tcW w:w="2767" w:type="dxa"/>
            <w:shd w:val="clear" w:color="auto" w:fill="F2F2F2" w:themeFill="background1" w:themeFillShade="F2"/>
          </w:tcPr>
          <w:p w14:paraId="273AFD78" w14:textId="77777777" w:rsidR="00DA7F22" w:rsidRPr="00046353" w:rsidRDefault="00DA7F22" w:rsidP="00AA5BA4">
            <w:pPr>
              <w:spacing w:before="60" w:after="60"/>
              <w:jc w:val="center"/>
              <w:rPr>
                <w:rFonts w:ascii="Arial" w:hAnsi="Arial" w:cs="Arial"/>
                <w:b/>
                <w:bCs/>
                <w:szCs w:val="22"/>
              </w:rPr>
            </w:pPr>
            <w:r w:rsidRPr="00046353">
              <w:rPr>
                <w:rFonts w:ascii="Arial" w:hAnsi="Arial" w:cs="Arial"/>
                <w:b/>
                <w:bCs/>
                <w:szCs w:val="22"/>
              </w:rPr>
              <w:t>Section</w:t>
            </w:r>
          </w:p>
        </w:tc>
        <w:tc>
          <w:tcPr>
            <w:tcW w:w="4032" w:type="dxa"/>
            <w:shd w:val="clear" w:color="auto" w:fill="F2F2F2" w:themeFill="background1" w:themeFillShade="F2"/>
          </w:tcPr>
          <w:p w14:paraId="1D1AAAA7" w14:textId="77777777" w:rsidR="00DA7F22" w:rsidRPr="00046353" w:rsidRDefault="00DA7F22" w:rsidP="00AA5BA4">
            <w:pPr>
              <w:spacing w:before="60" w:after="60"/>
              <w:jc w:val="center"/>
              <w:rPr>
                <w:rFonts w:ascii="Arial" w:hAnsi="Arial" w:cs="Arial"/>
                <w:b/>
                <w:bCs/>
                <w:szCs w:val="22"/>
              </w:rPr>
            </w:pPr>
            <w:r w:rsidRPr="00046353">
              <w:rPr>
                <w:rFonts w:ascii="Arial" w:hAnsi="Arial" w:cs="Arial"/>
                <w:b/>
                <w:bCs/>
                <w:szCs w:val="22"/>
              </w:rPr>
              <w:t>Assessment</w:t>
            </w:r>
          </w:p>
        </w:tc>
        <w:tc>
          <w:tcPr>
            <w:tcW w:w="1503" w:type="dxa"/>
            <w:shd w:val="clear" w:color="auto" w:fill="F2F2F2" w:themeFill="background1" w:themeFillShade="F2"/>
          </w:tcPr>
          <w:p w14:paraId="23119C24" w14:textId="77777777" w:rsidR="00DA7F22" w:rsidRPr="00046353" w:rsidRDefault="00DA7F22" w:rsidP="00AA5BA4">
            <w:pPr>
              <w:spacing w:before="60" w:after="60"/>
              <w:jc w:val="center"/>
              <w:rPr>
                <w:rFonts w:ascii="Arial" w:hAnsi="Arial" w:cs="Arial"/>
                <w:b/>
                <w:bCs/>
                <w:szCs w:val="22"/>
              </w:rPr>
            </w:pPr>
            <w:r w:rsidRPr="00046353">
              <w:rPr>
                <w:rFonts w:ascii="Arial" w:hAnsi="Arial" w:cs="Arial"/>
                <w:b/>
                <w:bCs/>
                <w:szCs w:val="22"/>
              </w:rPr>
              <w:t>Compliance</w:t>
            </w:r>
          </w:p>
        </w:tc>
      </w:tr>
      <w:tr w:rsidR="00DA7F22" w14:paraId="4BD3626B" w14:textId="77777777" w:rsidTr="00BD2F8B">
        <w:tc>
          <w:tcPr>
            <w:tcW w:w="2767" w:type="dxa"/>
            <w:tcBorders>
              <w:bottom w:val="single" w:sz="4" w:space="0" w:color="FFFFFF" w:themeColor="background1"/>
            </w:tcBorders>
          </w:tcPr>
          <w:p w14:paraId="0F43F63E" w14:textId="77777777" w:rsidR="00DA7F22" w:rsidRPr="00046353" w:rsidRDefault="00DA7F22" w:rsidP="00AA5BA4">
            <w:pPr>
              <w:spacing w:before="60" w:after="60"/>
              <w:jc w:val="both"/>
              <w:rPr>
                <w:rFonts w:ascii="Arial" w:hAnsi="Arial" w:cs="Arial"/>
                <w:b/>
                <w:bCs/>
                <w:szCs w:val="22"/>
              </w:rPr>
            </w:pPr>
            <w:r w:rsidRPr="00046353">
              <w:rPr>
                <w:rFonts w:ascii="Arial" w:hAnsi="Arial" w:cs="Arial"/>
                <w:b/>
                <w:bCs/>
                <w:szCs w:val="22"/>
              </w:rPr>
              <w:t xml:space="preserve">Part 2 Permitted or Prohibited Development </w:t>
            </w:r>
          </w:p>
          <w:p w14:paraId="3D4A56E8" w14:textId="77777777" w:rsidR="00DA7F22" w:rsidRPr="00046353" w:rsidRDefault="00DA7F22" w:rsidP="00AA5BA4">
            <w:pPr>
              <w:spacing w:before="60" w:after="60"/>
              <w:jc w:val="both"/>
              <w:rPr>
                <w:rFonts w:ascii="Arial" w:hAnsi="Arial" w:cs="Arial"/>
                <w:b/>
                <w:bCs/>
                <w:szCs w:val="22"/>
              </w:rPr>
            </w:pPr>
            <w:r w:rsidRPr="00046353">
              <w:rPr>
                <w:rFonts w:ascii="Arial" w:hAnsi="Arial" w:cs="Arial"/>
                <w:b/>
                <w:bCs/>
                <w:szCs w:val="22"/>
              </w:rPr>
              <w:t xml:space="preserve">2.3 Zone Objectives and Land Use Tables </w:t>
            </w:r>
          </w:p>
          <w:p w14:paraId="67F4C677" w14:textId="77777777" w:rsidR="00DA7F22" w:rsidRDefault="00DA7F22" w:rsidP="00AA5BA4">
            <w:pPr>
              <w:jc w:val="both"/>
              <w:rPr>
                <w:rFonts w:ascii="Arial" w:hAnsi="Arial" w:cs="Arial"/>
                <w:i/>
                <w:iCs/>
                <w:shd w:val="clear" w:color="auto" w:fill="FFFFFF"/>
              </w:rPr>
            </w:pPr>
            <w:r w:rsidRPr="00046353">
              <w:rPr>
                <w:rFonts w:ascii="Arial" w:hAnsi="Arial" w:cs="Arial"/>
                <w:i/>
                <w:iCs/>
                <w:shd w:val="clear" w:color="auto" w:fill="FFFFFF"/>
              </w:rPr>
              <w:t>The consent authority must have regard to the objectives for development in a zone when determining a development application in respect of land within the zone.</w:t>
            </w:r>
          </w:p>
          <w:p w14:paraId="346EA84F" w14:textId="77777777" w:rsidR="00DA7F22" w:rsidRPr="00046353" w:rsidRDefault="00DA7F22" w:rsidP="00AA5BA4">
            <w:pPr>
              <w:jc w:val="both"/>
              <w:rPr>
                <w:rFonts w:ascii="Arial" w:hAnsi="Arial" w:cs="Arial"/>
                <w:i/>
                <w:iCs/>
                <w:szCs w:val="22"/>
              </w:rPr>
            </w:pPr>
          </w:p>
        </w:tc>
        <w:tc>
          <w:tcPr>
            <w:tcW w:w="4032" w:type="dxa"/>
            <w:tcBorders>
              <w:bottom w:val="single" w:sz="4" w:space="0" w:color="FFFFFF" w:themeColor="background1"/>
            </w:tcBorders>
          </w:tcPr>
          <w:p w14:paraId="143BB9D1" w14:textId="77777777" w:rsidR="00DA7F22" w:rsidRDefault="00DA7F22" w:rsidP="00AA5BA4">
            <w:pPr>
              <w:spacing w:before="60" w:after="60"/>
              <w:jc w:val="both"/>
              <w:rPr>
                <w:rFonts w:ascii="Arial" w:hAnsi="Arial" w:cs="Arial"/>
                <w:szCs w:val="22"/>
              </w:rPr>
            </w:pPr>
          </w:p>
          <w:p w14:paraId="5254359B" w14:textId="77777777" w:rsidR="00DA7F22" w:rsidRDefault="00DA7F22" w:rsidP="00AA5BA4">
            <w:pPr>
              <w:spacing w:before="60" w:after="60"/>
              <w:jc w:val="both"/>
              <w:rPr>
                <w:rFonts w:ascii="Arial" w:hAnsi="Arial" w:cs="Arial"/>
                <w:szCs w:val="22"/>
              </w:rPr>
            </w:pPr>
          </w:p>
          <w:p w14:paraId="03995B5F" w14:textId="77777777" w:rsidR="00DA7F22" w:rsidRPr="00046353" w:rsidRDefault="00DA7F22" w:rsidP="00AA5BA4">
            <w:pPr>
              <w:jc w:val="both"/>
              <w:rPr>
                <w:rFonts w:ascii="Arial" w:hAnsi="Arial" w:cs="Arial"/>
              </w:rPr>
            </w:pPr>
          </w:p>
          <w:p w14:paraId="2D52F9BE" w14:textId="77777777" w:rsidR="00DA7F22" w:rsidRDefault="00DA7F22" w:rsidP="00AA5BA4">
            <w:pPr>
              <w:jc w:val="both"/>
              <w:rPr>
                <w:rFonts w:ascii="Arial" w:hAnsi="Arial" w:cs="Arial"/>
              </w:rPr>
            </w:pPr>
          </w:p>
          <w:p w14:paraId="6343CAA2" w14:textId="0A4BC326" w:rsidR="00DA7F22" w:rsidRDefault="00DA7F22" w:rsidP="00AA5BA4">
            <w:pPr>
              <w:jc w:val="both"/>
              <w:rPr>
                <w:rFonts w:ascii="Arial" w:hAnsi="Arial" w:cs="Arial"/>
              </w:rPr>
            </w:pPr>
            <w:r w:rsidRPr="00046353">
              <w:rPr>
                <w:rFonts w:ascii="Arial" w:hAnsi="Arial" w:cs="Arial"/>
              </w:rPr>
              <w:t xml:space="preserve">The development site is zoned RE2 Private Recreation pursuant to the Camden LEP. A detailed assessment against the zone objectives is provided below. </w:t>
            </w:r>
          </w:p>
          <w:p w14:paraId="3AC1962C" w14:textId="77777777" w:rsidR="00DA7F22" w:rsidRPr="00046353" w:rsidRDefault="00DA7F22" w:rsidP="00AA5BA4">
            <w:pPr>
              <w:jc w:val="both"/>
              <w:rPr>
                <w:rFonts w:ascii="Arial" w:hAnsi="Arial" w:cs="Arial"/>
              </w:rPr>
            </w:pPr>
          </w:p>
        </w:tc>
        <w:tc>
          <w:tcPr>
            <w:tcW w:w="1503" w:type="dxa"/>
            <w:tcBorders>
              <w:bottom w:val="single" w:sz="4" w:space="0" w:color="FFFFFF" w:themeColor="background1"/>
            </w:tcBorders>
          </w:tcPr>
          <w:p w14:paraId="2F035323" w14:textId="77777777" w:rsidR="00DA7F22" w:rsidRDefault="00DA7F22" w:rsidP="00AA5BA4">
            <w:pPr>
              <w:spacing w:before="60" w:after="60"/>
              <w:jc w:val="both"/>
              <w:rPr>
                <w:rFonts w:ascii="Arial" w:hAnsi="Arial" w:cs="Arial"/>
                <w:szCs w:val="22"/>
              </w:rPr>
            </w:pPr>
          </w:p>
          <w:p w14:paraId="6A02C972" w14:textId="77777777" w:rsidR="00BD2F8B" w:rsidRDefault="00BD2F8B" w:rsidP="00AA5BA4">
            <w:pPr>
              <w:spacing w:before="60" w:after="60"/>
              <w:jc w:val="both"/>
              <w:rPr>
                <w:rFonts w:ascii="Arial" w:hAnsi="Arial" w:cs="Arial"/>
                <w:szCs w:val="22"/>
              </w:rPr>
            </w:pPr>
          </w:p>
          <w:p w14:paraId="2D7474B1" w14:textId="77777777" w:rsidR="00BD2F8B" w:rsidRDefault="00BD2F8B" w:rsidP="00AA5BA4">
            <w:pPr>
              <w:spacing w:before="60" w:after="60"/>
              <w:jc w:val="both"/>
              <w:rPr>
                <w:rFonts w:ascii="Arial" w:hAnsi="Arial" w:cs="Arial"/>
                <w:szCs w:val="22"/>
              </w:rPr>
            </w:pPr>
          </w:p>
          <w:p w14:paraId="48C6A3D0" w14:textId="77777777" w:rsidR="00BD2F8B" w:rsidRDefault="00BD2F8B" w:rsidP="00BD2F8B">
            <w:pPr>
              <w:jc w:val="center"/>
              <w:rPr>
                <w:rFonts w:ascii="Arial" w:hAnsi="Arial" w:cs="Arial"/>
              </w:rPr>
            </w:pPr>
          </w:p>
          <w:p w14:paraId="2FAAF059" w14:textId="2CC97CD4" w:rsidR="00BD2F8B" w:rsidRPr="00BD2F8B" w:rsidRDefault="00BD2F8B" w:rsidP="00BD2F8B">
            <w:pPr>
              <w:jc w:val="center"/>
              <w:rPr>
                <w:rFonts w:ascii="Arial" w:hAnsi="Arial" w:cs="Arial"/>
              </w:rPr>
            </w:pPr>
            <w:r w:rsidRPr="00BD2F8B">
              <w:rPr>
                <w:rFonts w:ascii="Arial" w:hAnsi="Arial" w:cs="Arial"/>
              </w:rPr>
              <w:t>Refer to the below assessment</w:t>
            </w:r>
          </w:p>
        </w:tc>
      </w:tr>
      <w:tr w:rsidR="00DA7F22" w14:paraId="36ED6F61" w14:textId="77777777" w:rsidTr="00BD2F8B">
        <w:tc>
          <w:tcPr>
            <w:tcW w:w="2767" w:type="dxa"/>
            <w:tcBorders>
              <w:top w:val="single" w:sz="4" w:space="0" w:color="FFFFFF" w:themeColor="background1"/>
            </w:tcBorders>
          </w:tcPr>
          <w:p w14:paraId="077385C8" w14:textId="77777777" w:rsidR="00DA7F22" w:rsidRPr="00BF5DAE" w:rsidRDefault="00DA7F22" w:rsidP="00AA5BA4">
            <w:pPr>
              <w:jc w:val="both"/>
              <w:rPr>
                <w:rFonts w:ascii="Arial" w:hAnsi="Arial" w:cs="Arial"/>
                <w:b/>
                <w:bCs/>
              </w:rPr>
            </w:pPr>
            <w:r w:rsidRPr="00BF5DAE">
              <w:rPr>
                <w:rFonts w:ascii="Arial" w:hAnsi="Arial" w:cs="Arial"/>
                <w:b/>
                <w:bCs/>
              </w:rPr>
              <w:t xml:space="preserve">RE2 Private Recreation </w:t>
            </w:r>
          </w:p>
          <w:p w14:paraId="75DFF423" w14:textId="77777777" w:rsidR="00DA7F22" w:rsidRPr="00ED06C4" w:rsidRDefault="00DA7F22" w:rsidP="00DA7F22">
            <w:pPr>
              <w:pStyle w:val="ListParagraph"/>
              <w:numPr>
                <w:ilvl w:val="0"/>
                <w:numId w:val="1"/>
              </w:numPr>
              <w:ind w:left="306" w:hanging="284"/>
              <w:jc w:val="both"/>
              <w:rPr>
                <w:rFonts w:ascii="Arial" w:hAnsi="Arial" w:cs="Arial"/>
                <w:i/>
                <w:iCs/>
              </w:rPr>
            </w:pPr>
            <w:r w:rsidRPr="00ED06C4">
              <w:rPr>
                <w:rFonts w:ascii="Arial" w:hAnsi="Arial" w:cs="Arial"/>
                <w:i/>
                <w:iCs/>
              </w:rPr>
              <w:t>To enable land to be used for private open space or recreational purposes.</w:t>
            </w:r>
          </w:p>
          <w:p w14:paraId="2BA5E28B" w14:textId="77777777" w:rsidR="00DA7F22" w:rsidRPr="00ED06C4" w:rsidRDefault="00DA7F22" w:rsidP="00DA7F22">
            <w:pPr>
              <w:pStyle w:val="ListParagraph"/>
              <w:numPr>
                <w:ilvl w:val="0"/>
                <w:numId w:val="1"/>
              </w:numPr>
              <w:ind w:left="306" w:hanging="284"/>
              <w:jc w:val="both"/>
              <w:rPr>
                <w:rFonts w:ascii="Arial" w:hAnsi="Arial" w:cs="Arial"/>
                <w:i/>
                <w:iCs/>
              </w:rPr>
            </w:pPr>
            <w:r w:rsidRPr="00ED06C4">
              <w:rPr>
                <w:rFonts w:ascii="Arial" w:hAnsi="Arial" w:cs="Arial"/>
                <w:i/>
                <w:iCs/>
              </w:rPr>
              <w:t>To provide a range of recreational settings and activities and compatible land uses.</w:t>
            </w:r>
          </w:p>
          <w:p w14:paraId="15F0C3D8" w14:textId="77777777" w:rsidR="00DA7F22" w:rsidRPr="00ED06C4" w:rsidRDefault="00DA7F22" w:rsidP="00DA7F22">
            <w:pPr>
              <w:pStyle w:val="ListParagraph"/>
              <w:numPr>
                <w:ilvl w:val="0"/>
                <w:numId w:val="1"/>
              </w:numPr>
              <w:ind w:left="306" w:hanging="284"/>
              <w:jc w:val="both"/>
              <w:rPr>
                <w:rFonts w:ascii="Arial" w:hAnsi="Arial" w:cs="Arial"/>
                <w:i/>
                <w:iCs/>
              </w:rPr>
            </w:pPr>
            <w:r w:rsidRPr="00ED06C4">
              <w:rPr>
                <w:rFonts w:ascii="Arial" w:hAnsi="Arial" w:cs="Arial"/>
                <w:i/>
                <w:iCs/>
              </w:rPr>
              <w:t>To protect and enhance the natural environment for recreational purposes.</w:t>
            </w:r>
          </w:p>
          <w:p w14:paraId="5095E4AC" w14:textId="77777777" w:rsidR="00DA7F22" w:rsidRDefault="00DA7F22" w:rsidP="00AA5BA4">
            <w:pPr>
              <w:rPr>
                <w:rFonts w:ascii="Arial" w:hAnsi="Arial" w:cs="Arial"/>
              </w:rPr>
            </w:pPr>
          </w:p>
        </w:tc>
        <w:tc>
          <w:tcPr>
            <w:tcW w:w="4032" w:type="dxa"/>
            <w:tcBorders>
              <w:top w:val="single" w:sz="4" w:space="0" w:color="FFFFFF" w:themeColor="background1"/>
            </w:tcBorders>
          </w:tcPr>
          <w:p w14:paraId="217284F6" w14:textId="77777777" w:rsidR="00DA7F22" w:rsidRDefault="00DA7F22" w:rsidP="00AA5BA4">
            <w:pPr>
              <w:jc w:val="both"/>
            </w:pPr>
          </w:p>
          <w:p w14:paraId="11B4479A" w14:textId="03E2CBB0" w:rsidR="0014490D" w:rsidRDefault="0014490D" w:rsidP="00AA5BA4">
            <w:pPr>
              <w:jc w:val="both"/>
              <w:rPr>
                <w:rFonts w:ascii="Arial" w:hAnsi="Arial" w:cs="Arial"/>
              </w:rPr>
            </w:pPr>
            <w:r>
              <w:rPr>
                <w:rFonts w:ascii="Arial" w:hAnsi="Arial" w:cs="Arial"/>
              </w:rPr>
              <w:t xml:space="preserve">Whilst residential accommodation and hotel and motel accommodation are both prohibited in the RE2 zone (refer to the main assessment report), the development is still consistent with the zone objectives in the following respects: </w:t>
            </w:r>
          </w:p>
          <w:p w14:paraId="6BBB7555" w14:textId="77777777" w:rsidR="007C7D31" w:rsidRDefault="007C7D31" w:rsidP="00AA5BA4">
            <w:pPr>
              <w:jc w:val="both"/>
              <w:rPr>
                <w:rFonts w:ascii="Arial" w:hAnsi="Arial" w:cs="Arial"/>
              </w:rPr>
            </w:pPr>
          </w:p>
          <w:p w14:paraId="47BE5859" w14:textId="5C61FA80" w:rsidR="0014490D" w:rsidRDefault="0014490D" w:rsidP="0014490D">
            <w:pPr>
              <w:pStyle w:val="ListParagraph"/>
              <w:numPr>
                <w:ilvl w:val="0"/>
                <w:numId w:val="1"/>
              </w:numPr>
              <w:ind w:left="238" w:hanging="238"/>
              <w:jc w:val="both"/>
              <w:rPr>
                <w:rFonts w:ascii="Arial" w:hAnsi="Arial" w:cs="Arial"/>
              </w:rPr>
            </w:pPr>
            <w:r>
              <w:rPr>
                <w:rFonts w:ascii="Arial" w:hAnsi="Arial" w:cs="Arial"/>
              </w:rPr>
              <w:t>The development will retain a significant portion of endangered species with suitable m</w:t>
            </w:r>
            <w:r w:rsidR="00CF0DA1">
              <w:rPr>
                <w:rFonts w:ascii="Arial" w:hAnsi="Arial" w:cs="Arial"/>
              </w:rPr>
              <w:t>itigation measures</w:t>
            </w:r>
            <w:r>
              <w:rPr>
                <w:rFonts w:ascii="Arial" w:hAnsi="Arial" w:cs="Arial"/>
              </w:rPr>
              <w:t xml:space="preserve"> to ensure the adverse impacts of the development </w:t>
            </w:r>
            <w:r w:rsidR="00161C4F">
              <w:rPr>
                <w:rFonts w:ascii="Arial" w:hAnsi="Arial" w:cs="Arial"/>
              </w:rPr>
              <w:t>are</w:t>
            </w:r>
            <w:r>
              <w:rPr>
                <w:rFonts w:ascii="Arial" w:hAnsi="Arial" w:cs="Arial"/>
              </w:rPr>
              <w:t xml:space="preserve"> kept to a minimum. </w:t>
            </w:r>
          </w:p>
          <w:p w14:paraId="7F5BD78A" w14:textId="73299AAD" w:rsidR="0014490D" w:rsidRDefault="0014490D" w:rsidP="0014490D">
            <w:pPr>
              <w:pStyle w:val="ListParagraph"/>
              <w:numPr>
                <w:ilvl w:val="0"/>
                <w:numId w:val="1"/>
              </w:numPr>
              <w:ind w:left="238" w:hanging="238"/>
              <w:jc w:val="both"/>
              <w:rPr>
                <w:rFonts w:ascii="Arial" w:hAnsi="Arial" w:cs="Arial"/>
              </w:rPr>
            </w:pPr>
            <w:r>
              <w:rPr>
                <w:rFonts w:ascii="Arial" w:hAnsi="Arial" w:cs="Arial"/>
              </w:rPr>
              <w:t xml:space="preserve">The development proposes the replanting of Pimelea </w:t>
            </w:r>
            <w:r w:rsidR="00161C4F">
              <w:rPr>
                <w:rFonts w:ascii="Arial" w:hAnsi="Arial" w:cs="Arial"/>
              </w:rPr>
              <w:t>s</w:t>
            </w:r>
            <w:r>
              <w:rPr>
                <w:rFonts w:ascii="Arial" w:hAnsi="Arial" w:cs="Arial"/>
              </w:rPr>
              <w:t xml:space="preserve">picata plants at a ratio of 3:1, resulting in an additional 297 plants. </w:t>
            </w:r>
          </w:p>
          <w:p w14:paraId="391C26A5" w14:textId="10CA41A2" w:rsidR="0014490D" w:rsidRDefault="0014490D" w:rsidP="0014490D">
            <w:pPr>
              <w:pStyle w:val="ListParagraph"/>
              <w:numPr>
                <w:ilvl w:val="0"/>
                <w:numId w:val="1"/>
              </w:numPr>
              <w:ind w:left="238" w:hanging="238"/>
              <w:jc w:val="both"/>
              <w:rPr>
                <w:rFonts w:ascii="Arial" w:hAnsi="Arial" w:cs="Arial"/>
              </w:rPr>
            </w:pPr>
            <w:r>
              <w:rPr>
                <w:rFonts w:ascii="Arial" w:hAnsi="Arial" w:cs="Arial"/>
              </w:rPr>
              <w:t>Proposed trees to be removed are primarily classified with low and/or medium retention value.</w:t>
            </w:r>
            <w:r w:rsidR="004D5B3A">
              <w:rPr>
                <w:rFonts w:ascii="Arial" w:hAnsi="Arial" w:cs="Arial"/>
              </w:rPr>
              <w:t xml:space="preserve"> None of these trees have been identified with either ecological and/or heritage value.</w:t>
            </w:r>
            <w:r>
              <w:rPr>
                <w:rFonts w:ascii="Arial" w:hAnsi="Arial" w:cs="Arial"/>
              </w:rPr>
              <w:t xml:space="preserve"> With the proposed replanting at a ratio of 4:1, the development will result in an additional 76 trees (minimum), consisting of local indigenous species. </w:t>
            </w:r>
          </w:p>
          <w:p w14:paraId="0CFCD24C" w14:textId="77777777" w:rsidR="00161C4F" w:rsidRDefault="0014490D" w:rsidP="0014490D">
            <w:pPr>
              <w:pStyle w:val="ListParagraph"/>
              <w:numPr>
                <w:ilvl w:val="0"/>
                <w:numId w:val="1"/>
              </w:numPr>
              <w:ind w:left="238" w:hanging="238"/>
              <w:jc w:val="both"/>
              <w:rPr>
                <w:rFonts w:ascii="Arial" w:hAnsi="Arial" w:cs="Arial"/>
              </w:rPr>
            </w:pPr>
            <w:r>
              <w:rPr>
                <w:rFonts w:ascii="Arial" w:hAnsi="Arial" w:cs="Arial"/>
              </w:rPr>
              <w:t xml:space="preserve">Sufficient open space is proposed within the development site, providing both residents and visitors </w:t>
            </w:r>
            <w:r w:rsidR="000D7D39">
              <w:rPr>
                <w:rFonts w:ascii="Arial" w:hAnsi="Arial" w:cs="Arial"/>
              </w:rPr>
              <w:t xml:space="preserve">with the opportunity to undertake a range of recreational activities. </w:t>
            </w:r>
          </w:p>
          <w:p w14:paraId="0AA10BD0" w14:textId="4F731516" w:rsidR="0014490D" w:rsidRDefault="000D7D39" w:rsidP="0014490D">
            <w:pPr>
              <w:pStyle w:val="ListParagraph"/>
              <w:numPr>
                <w:ilvl w:val="0"/>
                <w:numId w:val="1"/>
              </w:numPr>
              <w:ind w:left="238" w:hanging="238"/>
              <w:jc w:val="both"/>
              <w:rPr>
                <w:rFonts w:ascii="Arial" w:hAnsi="Arial" w:cs="Arial"/>
              </w:rPr>
            </w:pPr>
            <w:r>
              <w:rPr>
                <w:rFonts w:ascii="Arial" w:hAnsi="Arial" w:cs="Arial"/>
              </w:rPr>
              <w:t xml:space="preserve">Proposed works will have minimal adverse impacts on Lots 3 and 5. </w:t>
            </w:r>
          </w:p>
          <w:p w14:paraId="75A4B538" w14:textId="40C35149" w:rsidR="004D5B3A" w:rsidRDefault="004D5B3A" w:rsidP="0014490D">
            <w:pPr>
              <w:pStyle w:val="ListParagraph"/>
              <w:numPr>
                <w:ilvl w:val="0"/>
                <w:numId w:val="1"/>
              </w:numPr>
              <w:ind w:left="238" w:hanging="238"/>
              <w:jc w:val="both"/>
              <w:rPr>
                <w:rFonts w:ascii="Arial" w:hAnsi="Arial" w:cs="Arial"/>
              </w:rPr>
            </w:pPr>
            <w:r>
              <w:rPr>
                <w:rFonts w:ascii="Arial" w:hAnsi="Arial" w:cs="Arial"/>
              </w:rPr>
              <w:t xml:space="preserve">The development will enable land to be used for private open space. </w:t>
            </w:r>
          </w:p>
          <w:p w14:paraId="228FFCC5" w14:textId="5A1C7743" w:rsidR="00DA7F22" w:rsidRPr="00AB477A" w:rsidRDefault="004D5B3A" w:rsidP="00AA5BA4">
            <w:pPr>
              <w:pStyle w:val="ListParagraph"/>
              <w:numPr>
                <w:ilvl w:val="0"/>
                <w:numId w:val="1"/>
              </w:numPr>
              <w:ind w:left="238" w:hanging="238"/>
              <w:jc w:val="both"/>
              <w:rPr>
                <w:rFonts w:ascii="Arial" w:hAnsi="Arial" w:cs="Arial"/>
              </w:rPr>
            </w:pPr>
            <w:r>
              <w:rPr>
                <w:rFonts w:ascii="Arial" w:hAnsi="Arial" w:cs="Arial"/>
              </w:rPr>
              <w:t xml:space="preserve">Subject to the imposition of recommended conditions of consent, proposed land uses are considered to be compatible with surrounding land uses. </w:t>
            </w:r>
          </w:p>
        </w:tc>
        <w:tc>
          <w:tcPr>
            <w:tcW w:w="1503" w:type="dxa"/>
            <w:tcBorders>
              <w:top w:val="single" w:sz="4" w:space="0" w:color="FFFFFF" w:themeColor="background1"/>
            </w:tcBorders>
          </w:tcPr>
          <w:p w14:paraId="2DE1E767" w14:textId="77777777" w:rsidR="00DA7F22" w:rsidRPr="00AB477A" w:rsidRDefault="00DA7F22" w:rsidP="00AB477A">
            <w:pPr>
              <w:jc w:val="center"/>
              <w:rPr>
                <w:rFonts w:ascii="Arial" w:hAnsi="Arial" w:cs="Arial"/>
              </w:rPr>
            </w:pPr>
          </w:p>
          <w:p w14:paraId="08E0E63D" w14:textId="512A3FE1" w:rsidR="00AB477A" w:rsidRPr="00AB477A" w:rsidRDefault="00AB477A" w:rsidP="00AB477A">
            <w:pPr>
              <w:jc w:val="center"/>
            </w:pPr>
            <w:r w:rsidRPr="00AB477A">
              <w:rPr>
                <w:rFonts w:ascii="Arial" w:hAnsi="Arial" w:cs="Arial"/>
              </w:rPr>
              <w:t>Yes – Subject to the imposition of conditions of consent.</w:t>
            </w:r>
          </w:p>
        </w:tc>
      </w:tr>
      <w:tr w:rsidR="00DA7F22" w14:paraId="3C3D39DB" w14:textId="77777777" w:rsidTr="00AA5BA4">
        <w:tc>
          <w:tcPr>
            <w:tcW w:w="2767" w:type="dxa"/>
          </w:tcPr>
          <w:p w14:paraId="4DD69F13" w14:textId="77777777" w:rsidR="00DA7F22" w:rsidRDefault="00DA7F22" w:rsidP="00AA5BA4">
            <w:pPr>
              <w:spacing w:before="60" w:after="60"/>
              <w:jc w:val="both"/>
              <w:rPr>
                <w:rFonts w:ascii="Arial" w:hAnsi="Arial" w:cs="Arial"/>
                <w:b/>
                <w:bCs/>
                <w:szCs w:val="22"/>
              </w:rPr>
            </w:pPr>
            <w:r w:rsidRPr="00A35396">
              <w:rPr>
                <w:rFonts w:ascii="Arial" w:hAnsi="Arial" w:cs="Arial"/>
                <w:b/>
                <w:bCs/>
                <w:szCs w:val="22"/>
              </w:rPr>
              <w:t xml:space="preserve">4.1 Minimum Subdivision Lot Size </w:t>
            </w:r>
          </w:p>
          <w:p w14:paraId="091B4959" w14:textId="77777777" w:rsidR="00AB477A" w:rsidRPr="00A35396" w:rsidRDefault="00AB477A" w:rsidP="00AA5BA4">
            <w:pPr>
              <w:spacing w:before="60" w:after="60"/>
              <w:jc w:val="both"/>
              <w:rPr>
                <w:rFonts w:ascii="Arial" w:hAnsi="Arial" w:cs="Arial"/>
                <w:b/>
                <w:bCs/>
                <w:szCs w:val="22"/>
              </w:rPr>
            </w:pPr>
          </w:p>
          <w:p w14:paraId="76514A24" w14:textId="03D40DFD" w:rsidR="00DA7F22" w:rsidRPr="00367BB1" w:rsidRDefault="00DA7F22" w:rsidP="00367BB1">
            <w:pPr>
              <w:jc w:val="both"/>
              <w:rPr>
                <w:rFonts w:ascii="Arial" w:hAnsi="Arial" w:cs="Arial"/>
                <w:i/>
                <w:iCs/>
              </w:rPr>
            </w:pPr>
            <w:r w:rsidRPr="00AB477A">
              <w:rPr>
                <w:rFonts w:ascii="Arial" w:hAnsi="Arial" w:cs="Arial"/>
                <w:i/>
                <w:iCs/>
                <w:shd w:val="clear" w:color="auto" w:fill="FFFFFF"/>
              </w:rPr>
              <w:lastRenderedPageBreak/>
              <w:t>The size of any lot resulting from a subdivision of land to which this clause applies is not to be less than the minimum size shown on the </w:t>
            </w:r>
            <w:hyperlink r:id="rId7" w:tgtFrame="_blank" w:history="1">
              <w:r w:rsidRPr="00AB477A">
                <w:rPr>
                  <w:rStyle w:val="frag-name"/>
                  <w:rFonts w:ascii="Arial" w:hAnsi="Arial" w:cs="Arial"/>
                  <w:i/>
                  <w:iCs/>
                  <w:szCs w:val="22"/>
                  <w:shd w:val="clear" w:color="auto" w:fill="FFFFFF"/>
                </w:rPr>
                <w:t>Lot Size Map</w:t>
              </w:r>
            </w:hyperlink>
            <w:r w:rsidRPr="00AB477A">
              <w:rPr>
                <w:rFonts w:ascii="Arial" w:hAnsi="Arial" w:cs="Arial"/>
                <w:i/>
                <w:iCs/>
                <w:shd w:val="clear" w:color="auto" w:fill="FFFFFF"/>
              </w:rPr>
              <w:t> in relation to that land.</w:t>
            </w:r>
          </w:p>
        </w:tc>
        <w:tc>
          <w:tcPr>
            <w:tcW w:w="4032" w:type="dxa"/>
          </w:tcPr>
          <w:p w14:paraId="4D2E02C8" w14:textId="77777777" w:rsidR="00AB477A" w:rsidRDefault="00AB477A" w:rsidP="00AA5BA4">
            <w:pPr>
              <w:jc w:val="both"/>
              <w:rPr>
                <w:rFonts w:ascii="Arial" w:hAnsi="Arial" w:cs="Arial"/>
              </w:rPr>
            </w:pPr>
          </w:p>
          <w:p w14:paraId="11F53C22" w14:textId="77777777" w:rsidR="00AB477A" w:rsidRDefault="00AB477A" w:rsidP="00AA5BA4">
            <w:pPr>
              <w:jc w:val="both"/>
              <w:rPr>
                <w:rFonts w:ascii="Arial" w:hAnsi="Arial" w:cs="Arial"/>
              </w:rPr>
            </w:pPr>
          </w:p>
          <w:p w14:paraId="2592D9EF" w14:textId="77777777" w:rsidR="00367BB1" w:rsidRDefault="00367BB1" w:rsidP="00AA5BA4">
            <w:pPr>
              <w:jc w:val="both"/>
              <w:rPr>
                <w:rFonts w:ascii="Arial" w:hAnsi="Arial" w:cs="Arial"/>
              </w:rPr>
            </w:pPr>
          </w:p>
          <w:p w14:paraId="1DD1D91E" w14:textId="11183463" w:rsidR="00DA7F22" w:rsidRPr="00A35396" w:rsidRDefault="00DA7F22" w:rsidP="00AA5BA4">
            <w:pPr>
              <w:jc w:val="both"/>
              <w:rPr>
                <w:rFonts w:ascii="Arial" w:hAnsi="Arial" w:cs="Arial"/>
              </w:rPr>
            </w:pPr>
            <w:r>
              <w:rPr>
                <w:rFonts w:ascii="Arial" w:hAnsi="Arial" w:cs="Arial"/>
              </w:rPr>
              <w:lastRenderedPageBreak/>
              <w:t>The development proposes a community title scheme. As such, this clause does not apply</w:t>
            </w:r>
            <w:r w:rsidR="00AB477A">
              <w:rPr>
                <w:rFonts w:ascii="Arial" w:hAnsi="Arial" w:cs="Arial"/>
              </w:rPr>
              <w:t>.</w:t>
            </w:r>
          </w:p>
        </w:tc>
        <w:tc>
          <w:tcPr>
            <w:tcW w:w="1503" w:type="dxa"/>
          </w:tcPr>
          <w:p w14:paraId="5E15D31E" w14:textId="77777777" w:rsidR="00DA7F22" w:rsidRDefault="00DA7F22" w:rsidP="00AA5BA4">
            <w:pPr>
              <w:spacing w:before="60" w:after="60"/>
              <w:jc w:val="both"/>
              <w:rPr>
                <w:rFonts w:ascii="Arial" w:hAnsi="Arial" w:cs="Arial"/>
                <w:szCs w:val="22"/>
              </w:rPr>
            </w:pPr>
          </w:p>
          <w:p w14:paraId="6D0B0059" w14:textId="77777777" w:rsidR="00AB477A" w:rsidRDefault="00AB477A" w:rsidP="00AA5BA4">
            <w:pPr>
              <w:spacing w:before="60" w:after="60"/>
              <w:jc w:val="both"/>
              <w:rPr>
                <w:rFonts w:ascii="Arial" w:hAnsi="Arial" w:cs="Arial"/>
                <w:szCs w:val="22"/>
              </w:rPr>
            </w:pPr>
          </w:p>
          <w:p w14:paraId="16830AAD" w14:textId="613C0616" w:rsidR="00AB477A" w:rsidRDefault="00AB477A" w:rsidP="00AB477A">
            <w:pPr>
              <w:spacing w:before="60" w:after="60"/>
              <w:jc w:val="center"/>
              <w:rPr>
                <w:rFonts w:ascii="Arial" w:hAnsi="Arial" w:cs="Arial"/>
                <w:szCs w:val="22"/>
              </w:rPr>
            </w:pPr>
            <w:r>
              <w:rPr>
                <w:rFonts w:ascii="Arial" w:hAnsi="Arial" w:cs="Arial"/>
                <w:szCs w:val="22"/>
              </w:rPr>
              <w:t>Not applicable.</w:t>
            </w:r>
          </w:p>
        </w:tc>
      </w:tr>
      <w:tr w:rsidR="00DA7F22" w14:paraId="60345E74" w14:textId="77777777" w:rsidTr="00AA5BA4">
        <w:tc>
          <w:tcPr>
            <w:tcW w:w="2767" w:type="dxa"/>
          </w:tcPr>
          <w:p w14:paraId="13E16A71" w14:textId="77777777" w:rsidR="00DA7F22" w:rsidRPr="00BD4E48" w:rsidRDefault="00DA7F22" w:rsidP="00AA5BA4">
            <w:pPr>
              <w:spacing w:before="60" w:after="60"/>
              <w:jc w:val="both"/>
              <w:rPr>
                <w:rFonts w:ascii="Arial" w:hAnsi="Arial" w:cs="Arial"/>
                <w:b/>
                <w:bCs/>
                <w:szCs w:val="22"/>
              </w:rPr>
            </w:pPr>
            <w:r w:rsidRPr="00BD4E48">
              <w:rPr>
                <w:rFonts w:ascii="Arial" w:hAnsi="Arial" w:cs="Arial"/>
                <w:b/>
                <w:bCs/>
                <w:szCs w:val="22"/>
              </w:rPr>
              <w:t xml:space="preserve">4.3 Height of Buildings </w:t>
            </w:r>
          </w:p>
          <w:p w14:paraId="49BD2966" w14:textId="79295E07" w:rsidR="0072146D" w:rsidRPr="00367BB1" w:rsidRDefault="00DA7F22" w:rsidP="00AA5BA4">
            <w:pPr>
              <w:jc w:val="both"/>
              <w:rPr>
                <w:rFonts w:ascii="Arial" w:hAnsi="Arial" w:cs="Arial"/>
                <w:i/>
                <w:iCs/>
                <w:shd w:val="clear" w:color="auto" w:fill="FFFFFF"/>
              </w:rPr>
            </w:pPr>
            <w:r w:rsidRPr="00BD4E48">
              <w:rPr>
                <w:rFonts w:ascii="Arial" w:hAnsi="Arial" w:cs="Arial"/>
                <w:i/>
                <w:iCs/>
                <w:shd w:val="clear" w:color="auto" w:fill="FFFFFF"/>
              </w:rPr>
              <w:t>The height of a building on any land is not to exceed the maximum height shown for the land on the Height of Buildings Map.</w:t>
            </w:r>
          </w:p>
        </w:tc>
        <w:tc>
          <w:tcPr>
            <w:tcW w:w="4032" w:type="dxa"/>
          </w:tcPr>
          <w:p w14:paraId="78E9F84E" w14:textId="77777777" w:rsidR="00DA7F22" w:rsidRDefault="00DA7F22" w:rsidP="00AA5BA4">
            <w:pPr>
              <w:spacing w:before="60" w:after="60"/>
              <w:jc w:val="both"/>
              <w:rPr>
                <w:rFonts w:ascii="Arial" w:hAnsi="Arial" w:cs="Arial"/>
                <w:szCs w:val="22"/>
              </w:rPr>
            </w:pPr>
          </w:p>
          <w:p w14:paraId="43766C38" w14:textId="3E0D1CBB" w:rsidR="00DA7F22" w:rsidRPr="00976547" w:rsidRDefault="00AB477A" w:rsidP="00AA5BA4">
            <w:pPr>
              <w:spacing w:before="60" w:after="60"/>
              <w:jc w:val="both"/>
              <w:rPr>
                <w:rFonts w:ascii="Arial" w:hAnsi="Arial" w:cs="Arial"/>
                <w:b/>
                <w:bCs/>
                <w:szCs w:val="22"/>
                <w:u w:val="single"/>
              </w:rPr>
            </w:pPr>
            <w:r>
              <w:rPr>
                <w:rFonts w:ascii="Arial" w:hAnsi="Arial" w:cs="Arial"/>
                <w:szCs w:val="22"/>
              </w:rPr>
              <w:t xml:space="preserve">The development site is not subject to a height of buildings </w:t>
            </w:r>
            <w:r w:rsidR="00161C4F">
              <w:rPr>
                <w:rFonts w:ascii="Arial" w:hAnsi="Arial" w:cs="Arial"/>
                <w:szCs w:val="22"/>
              </w:rPr>
              <w:t>development standard</w:t>
            </w:r>
            <w:r w:rsidR="009554A9">
              <w:rPr>
                <w:rFonts w:ascii="Arial" w:hAnsi="Arial" w:cs="Arial"/>
                <w:szCs w:val="22"/>
              </w:rPr>
              <w:t>.</w:t>
            </w:r>
          </w:p>
        </w:tc>
        <w:tc>
          <w:tcPr>
            <w:tcW w:w="1503" w:type="dxa"/>
          </w:tcPr>
          <w:p w14:paraId="594FA8FA" w14:textId="77777777" w:rsidR="00AB477A" w:rsidRDefault="00AB477A" w:rsidP="00AA5BA4">
            <w:pPr>
              <w:spacing w:before="60" w:after="60"/>
              <w:jc w:val="both"/>
              <w:rPr>
                <w:rFonts w:ascii="Arial" w:hAnsi="Arial" w:cs="Arial"/>
                <w:szCs w:val="22"/>
              </w:rPr>
            </w:pPr>
          </w:p>
          <w:p w14:paraId="142EBDCF" w14:textId="60126ED6" w:rsidR="00DA7F22" w:rsidRDefault="00AB477A" w:rsidP="00AB477A">
            <w:pPr>
              <w:spacing w:before="60" w:after="60"/>
              <w:jc w:val="center"/>
              <w:rPr>
                <w:rFonts w:ascii="Arial" w:hAnsi="Arial" w:cs="Arial"/>
                <w:szCs w:val="22"/>
              </w:rPr>
            </w:pPr>
            <w:r>
              <w:rPr>
                <w:rFonts w:ascii="Arial" w:hAnsi="Arial" w:cs="Arial"/>
                <w:szCs w:val="22"/>
              </w:rPr>
              <w:t>Not applicable.</w:t>
            </w:r>
          </w:p>
        </w:tc>
      </w:tr>
      <w:tr w:rsidR="00DA7F22" w14:paraId="269087B7" w14:textId="77777777" w:rsidTr="00E570BF">
        <w:tc>
          <w:tcPr>
            <w:tcW w:w="2767" w:type="dxa"/>
            <w:tcBorders>
              <w:bottom w:val="single" w:sz="4" w:space="0" w:color="FFFFFF"/>
            </w:tcBorders>
          </w:tcPr>
          <w:p w14:paraId="54186114" w14:textId="77777777" w:rsidR="00DA7F22" w:rsidRPr="00E570BF" w:rsidRDefault="00DA7F22" w:rsidP="0072146D">
            <w:pPr>
              <w:jc w:val="both"/>
              <w:rPr>
                <w:rFonts w:ascii="Arial" w:hAnsi="Arial" w:cs="Arial"/>
                <w:b/>
                <w:bCs/>
              </w:rPr>
            </w:pPr>
            <w:r w:rsidRPr="00E570BF">
              <w:rPr>
                <w:rFonts w:ascii="Arial" w:hAnsi="Arial" w:cs="Arial"/>
                <w:b/>
                <w:bCs/>
              </w:rPr>
              <w:t xml:space="preserve">5.10 Heritage Conservation </w:t>
            </w:r>
          </w:p>
          <w:p w14:paraId="46512D68" w14:textId="77777777" w:rsidR="00DA7F22" w:rsidRPr="00E570BF" w:rsidRDefault="00DA7F22" w:rsidP="0072146D">
            <w:pPr>
              <w:jc w:val="both"/>
              <w:rPr>
                <w:rFonts w:ascii="Arial" w:hAnsi="Arial" w:cs="Arial"/>
                <w:i/>
                <w:iCs/>
                <w:sz w:val="24"/>
                <w:szCs w:val="24"/>
              </w:rPr>
            </w:pPr>
            <w:r w:rsidRPr="00E570BF">
              <w:rPr>
                <w:rFonts w:ascii="Arial" w:hAnsi="Arial" w:cs="Arial"/>
                <w:i/>
                <w:iCs/>
                <w:shd w:val="clear" w:color="auto" w:fill="FFFFFF"/>
              </w:rPr>
              <w:t>Development consent is required for any of the following—</w:t>
            </w:r>
          </w:p>
          <w:p w14:paraId="3347D343" w14:textId="77777777" w:rsidR="00DA7F22" w:rsidRPr="00E570BF" w:rsidRDefault="00DA7F22" w:rsidP="0072146D">
            <w:pPr>
              <w:jc w:val="both"/>
              <w:rPr>
                <w:rFonts w:ascii="Arial" w:hAnsi="Arial" w:cs="Arial"/>
                <w:i/>
                <w:iCs/>
              </w:rPr>
            </w:pPr>
            <w:r w:rsidRPr="00E570BF">
              <w:rPr>
                <w:rFonts w:ascii="Arial" w:hAnsi="Arial" w:cs="Arial"/>
                <w:i/>
                <w:iCs/>
              </w:rPr>
              <w:t xml:space="preserve">(a)  demolishing or moving any of the following or altering the exterior of any of the following (including, in the case of a building, making changes to its detail, fabric, finish or appearance) heritage item. </w:t>
            </w:r>
          </w:p>
          <w:p w14:paraId="65807B11" w14:textId="77777777" w:rsidR="00DA7F22" w:rsidRPr="00E570BF" w:rsidRDefault="00DA7F22" w:rsidP="0072146D">
            <w:pPr>
              <w:jc w:val="both"/>
              <w:rPr>
                <w:rFonts w:ascii="Arial" w:hAnsi="Arial" w:cs="Arial"/>
                <w:i/>
                <w:iCs/>
                <w:shd w:val="clear" w:color="auto" w:fill="FFFFFF"/>
              </w:rPr>
            </w:pPr>
            <w:r w:rsidRPr="00E570BF">
              <w:rPr>
                <w:rFonts w:ascii="Arial" w:hAnsi="Arial" w:cs="Arial"/>
                <w:i/>
                <w:iCs/>
                <w:shd w:val="clear" w:color="auto" w:fill="FFFFFF"/>
              </w:rPr>
              <w:t>(b) altering a heritage item that is a building by making structural changes to its interior or by making changes to anything inside the item that is specified in Schedule 5 in relation to the item,</w:t>
            </w:r>
          </w:p>
          <w:p w14:paraId="0CFE3131" w14:textId="77777777" w:rsidR="00DA7F22" w:rsidRPr="00E570BF" w:rsidRDefault="00DA7F22" w:rsidP="0072146D">
            <w:pPr>
              <w:jc w:val="both"/>
              <w:rPr>
                <w:rFonts w:ascii="Arial" w:hAnsi="Arial" w:cs="Arial"/>
                <w:i/>
                <w:iCs/>
                <w:shd w:val="clear" w:color="auto" w:fill="FFFFFF"/>
              </w:rPr>
            </w:pPr>
            <w:r w:rsidRPr="00E570BF">
              <w:rPr>
                <w:rFonts w:ascii="Arial" w:hAnsi="Arial" w:cs="Arial"/>
                <w:i/>
                <w:iCs/>
                <w:shd w:val="clear" w:color="auto" w:fill="FFFFFF"/>
              </w:rPr>
              <w:t xml:space="preserve">(c) erecting a building on land </w:t>
            </w:r>
            <w:r w:rsidRPr="00E570BF">
              <w:rPr>
                <w:rFonts w:ascii="Arial" w:hAnsi="Arial" w:cs="Arial"/>
                <w:i/>
                <w:iCs/>
              </w:rPr>
              <w:t>on which a heritage item is located or that is within a heritage conservation area, or</w:t>
            </w:r>
          </w:p>
          <w:p w14:paraId="0EB1DB80" w14:textId="48655E7C" w:rsidR="00DA7F22" w:rsidRPr="00E570BF" w:rsidRDefault="0072146D" w:rsidP="0072146D">
            <w:pPr>
              <w:jc w:val="both"/>
              <w:rPr>
                <w:rFonts w:ascii="Arial" w:hAnsi="Arial" w:cs="Arial"/>
                <w:i/>
                <w:iCs/>
                <w:shd w:val="clear" w:color="auto" w:fill="FFFFFF"/>
              </w:rPr>
            </w:pPr>
            <w:r w:rsidRPr="00E570BF">
              <w:rPr>
                <w:rFonts w:ascii="Arial" w:hAnsi="Arial" w:cs="Arial"/>
                <w:i/>
                <w:iCs/>
                <w:shd w:val="clear" w:color="auto" w:fill="FFFFFF"/>
              </w:rPr>
              <w:t xml:space="preserve">(d) </w:t>
            </w:r>
            <w:r w:rsidR="00DA7F22" w:rsidRPr="00E570BF">
              <w:rPr>
                <w:rFonts w:ascii="Arial" w:hAnsi="Arial" w:cs="Arial"/>
                <w:i/>
                <w:iCs/>
                <w:shd w:val="clear" w:color="auto" w:fill="FFFFFF"/>
              </w:rPr>
              <w:t xml:space="preserve">subdividing land </w:t>
            </w:r>
            <w:r w:rsidR="00DA7F22" w:rsidRPr="00E570BF">
              <w:rPr>
                <w:rFonts w:ascii="Arial" w:hAnsi="Arial" w:cs="Arial"/>
                <w:i/>
                <w:iCs/>
              </w:rPr>
              <w:t xml:space="preserve">on which a heritage item is located or that is within a heritage conservation area. </w:t>
            </w:r>
          </w:p>
          <w:p w14:paraId="583E87E7" w14:textId="77777777" w:rsidR="00DA7F22" w:rsidRPr="00E570BF" w:rsidRDefault="00DA7F22" w:rsidP="00AA5BA4">
            <w:pPr>
              <w:jc w:val="both"/>
              <w:rPr>
                <w:rFonts w:ascii="Arial" w:hAnsi="Arial" w:cs="Arial"/>
                <w:i/>
                <w:iCs/>
              </w:rPr>
            </w:pPr>
          </w:p>
        </w:tc>
        <w:tc>
          <w:tcPr>
            <w:tcW w:w="4032" w:type="dxa"/>
            <w:tcBorders>
              <w:bottom w:val="single" w:sz="4" w:space="0" w:color="FFFFFF"/>
            </w:tcBorders>
          </w:tcPr>
          <w:p w14:paraId="53507886" w14:textId="70D39D34" w:rsidR="00BF1EBC" w:rsidRDefault="00BF1EBC" w:rsidP="0072146D">
            <w:pPr>
              <w:jc w:val="both"/>
              <w:rPr>
                <w:rFonts w:ascii="Arial" w:hAnsi="Arial" w:cs="Arial"/>
              </w:rPr>
            </w:pPr>
          </w:p>
          <w:p w14:paraId="28255722" w14:textId="35D3EE92" w:rsidR="00BF1EBC" w:rsidRDefault="00DA7F22" w:rsidP="0072146D">
            <w:pPr>
              <w:jc w:val="both"/>
              <w:rPr>
                <w:rFonts w:ascii="Arial" w:hAnsi="Arial" w:cs="Arial"/>
              </w:rPr>
            </w:pPr>
            <w:r w:rsidRPr="0072146D">
              <w:rPr>
                <w:rFonts w:ascii="Arial" w:hAnsi="Arial" w:cs="Arial"/>
              </w:rPr>
              <w:t xml:space="preserve">The development </w:t>
            </w:r>
            <w:r w:rsidR="00D90C4F">
              <w:rPr>
                <w:rFonts w:ascii="Arial" w:hAnsi="Arial" w:cs="Arial"/>
              </w:rPr>
              <w:t xml:space="preserve">site is </w:t>
            </w:r>
            <w:r w:rsidR="00F80280">
              <w:rPr>
                <w:rFonts w:ascii="Arial" w:hAnsi="Arial" w:cs="Arial"/>
              </w:rPr>
              <w:t>identified</w:t>
            </w:r>
            <w:r w:rsidR="00D90C4F">
              <w:rPr>
                <w:rFonts w:ascii="Arial" w:hAnsi="Arial" w:cs="Arial"/>
              </w:rPr>
              <w:t xml:space="preserve"> </w:t>
            </w:r>
            <w:r w:rsidR="00161C4F">
              <w:rPr>
                <w:rFonts w:ascii="Arial" w:hAnsi="Arial" w:cs="Arial"/>
              </w:rPr>
              <w:t>as having</w:t>
            </w:r>
            <w:r w:rsidR="00D90C4F">
              <w:rPr>
                <w:rFonts w:ascii="Arial" w:hAnsi="Arial" w:cs="Arial"/>
              </w:rPr>
              <w:t xml:space="preserve"> state heritage significance pursuant to the </w:t>
            </w:r>
            <w:r w:rsidR="00D90C4F" w:rsidRPr="00CF0DA1">
              <w:rPr>
                <w:rFonts w:ascii="Arial" w:hAnsi="Arial" w:cs="Arial"/>
                <w:i/>
                <w:iCs/>
              </w:rPr>
              <w:t>Heritage Act</w:t>
            </w:r>
            <w:r w:rsidR="00CF0DA1" w:rsidRPr="00CF0DA1">
              <w:rPr>
                <w:rFonts w:ascii="Arial" w:hAnsi="Arial" w:cs="Arial"/>
                <w:i/>
                <w:iCs/>
              </w:rPr>
              <w:t>,</w:t>
            </w:r>
            <w:r w:rsidR="00D90C4F" w:rsidRPr="00CF0DA1">
              <w:rPr>
                <w:rFonts w:ascii="Arial" w:hAnsi="Arial" w:cs="Arial"/>
                <w:i/>
                <w:iCs/>
              </w:rPr>
              <w:t xml:space="preserve"> 1977</w:t>
            </w:r>
            <w:r w:rsidR="00D90C4F">
              <w:rPr>
                <w:rFonts w:ascii="Arial" w:hAnsi="Arial" w:cs="Arial"/>
              </w:rPr>
              <w:t xml:space="preserve"> and Schedule 5 of the Camden LEP</w:t>
            </w:r>
            <w:r w:rsidR="00BF1EBC">
              <w:rPr>
                <w:rFonts w:ascii="Arial" w:hAnsi="Arial" w:cs="Arial"/>
              </w:rPr>
              <w:t xml:space="preserve">. The following works are proposed with this Development Application (DA): </w:t>
            </w:r>
          </w:p>
          <w:p w14:paraId="3CAE41B0" w14:textId="77777777" w:rsidR="00E570BF" w:rsidRDefault="00E570BF" w:rsidP="0072146D">
            <w:pPr>
              <w:jc w:val="both"/>
              <w:rPr>
                <w:rFonts w:ascii="Arial" w:hAnsi="Arial" w:cs="Arial"/>
              </w:rPr>
            </w:pPr>
          </w:p>
          <w:p w14:paraId="75D39E70" w14:textId="4B678EFC" w:rsidR="00BF1EBC" w:rsidRDefault="00BF1EBC" w:rsidP="009554A9">
            <w:pPr>
              <w:pStyle w:val="ListParagraph"/>
              <w:numPr>
                <w:ilvl w:val="0"/>
                <w:numId w:val="1"/>
              </w:numPr>
              <w:ind w:left="381" w:hanging="284"/>
              <w:jc w:val="both"/>
              <w:rPr>
                <w:rFonts w:ascii="Arial" w:hAnsi="Arial" w:cs="Arial"/>
              </w:rPr>
            </w:pPr>
            <w:r>
              <w:rPr>
                <w:rFonts w:ascii="Arial" w:hAnsi="Arial" w:cs="Arial"/>
              </w:rPr>
              <w:t>R</w:t>
            </w:r>
            <w:r w:rsidRPr="00BF1EBC">
              <w:rPr>
                <w:rFonts w:ascii="Arial" w:hAnsi="Arial" w:cs="Arial"/>
              </w:rPr>
              <w:t>efurbishment of Studley Park House and the Dining Hall in addition to the relocation of the Army Butcher Shop. The remaining structures on Lot 1 are to be removed</w:t>
            </w:r>
            <w:r w:rsidR="00161C4F">
              <w:rPr>
                <w:rFonts w:ascii="Arial" w:hAnsi="Arial" w:cs="Arial"/>
              </w:rPr>
              <w:t xml:space="preserve"> / demolished</w:t>
            </w:r>
            <w:r w:rsidRPr="00BF1EBC">
              <w:rPr>
                <w:rFonts w:ascii="Arial" w:hAnsi="Arial" w:cs="Arial"/>
              </w:rPr>
              <w:t xml:space="preserve">.  </w:t>
            </w:r>
          </w:p>
          <w:p w14:paraId="6925CE9B" w14:textId="7FEE2479" w:rsidR="0072146D" w:rsidRDefault="00BF1EBC" w:rsidP="009554A9">
            <w:pPr>
              <w:pStyle w:val="ListParagraph"/>
              <w:numPr>
                <w:ilvl w:val="0"/>
                <w:numId w:val="1"/>
              </w:numPr>
              <w:ind w:left="381" w:hanging="284"/>
              <w:jc w:val="both"/>
              <w:rPr>
                <w:rFonts w:ascii="Arial" w:hAnsi="Arial" w:cs="Arial"/>
              </w:rPr>
            </w:pPr>
            <w:r>
              <w:rPr>
                <w:rFonts w:ascii="Arial" w:hAnsi="Arial" w:cs="Arial"/>
              </w:rPr>
              <w:t>C</w:t>
            </w:r>
            <w:r w:rsidRPr="00BF1EBC">
              <w:rPr>
                <w:rFonts w:ascii="Arial" w:hAnsi="Arial" w:cs="Arial"/>
              </w:rPr>
              <w:t xml:space="preserve">onstruction of a two storey hotel building and four residential flat buildings on the eastern wing of Studley Park House. </w:t>
            </w:r>
          </w:p>
          <w:p w14:paraId="467C83F0" w14:textId="77777777" w:rsidR="00E570BF" w:rsidRDefault="00BF1EBC" w:rsidP="009554A9">
            <w:pPr>
              <w:pStyle w:val="ListParagraph"/>
              <w:numPr>
                <w:ilvl w:val="0"/>
                <w:numId w:val="1"/>
              </w:numPr>
              <w:ind w:left="381" w:hanging="284"/>
              <w:jc w:val="both"/>
              <w:rPr>
                <w:rFonts w:ascii="Arial" w:hAnsi="Arial" w:cs="Arial"/>
              </w:rPr>
            </w:pPr>
            <w:r>
              <w:rPr>
                <w:rFonts w:ascii="Arial" w:hAnsi="Arial" w:cs="Arial"/>
              </w:rPr>
              <w:t>Provision of a community title subdivision to create an addition</w:t>
            </w:r>
            <w:r w:rsidR="00E570BF">
              <w:rPr>
                <w:rFonts w:ascii="Arial" w:hAnsi="Arial" w:cs="Arial"/>
              </w:rPr>
              <w:t xml:space="preserve">al three lots. </w:t>
            </w:r>
          </w:p>
          <w:p w14:paraId="3286BA05" w14:textId="5A45E55A" w:rsidR="00BF1EBC" w:rsidRPr="00BF1EBC" w:rsidRDefault="00BF1EBC" w:rsidP="00E570BF">
            <w:pPr>
              <w:pStyle w:val="ListParagraph"/>
              <w:jc w:val="both"/>
              <w:rPr>
                <w:rFonts w:ascii="Arial" w:hAnsi="Arial" w:cs="Arial"/>
              </w:rPr>
            </w:pPr>
            <w:r>
              <w:rPr>
                <w:rFonts w:ascii="Arial" w:hAnsi="Arial" w:cs="Arial"/>
              </w:rPr>
              <w:t xml:space="preserve"> </w:t>
            </w:r>
          </w:p>
          <w:p w14:paraId="7CCD9B42" w14:textId="7D8DA33F" w:rsidR="0072146D" w:rsidRDefault="00E570BF" w:rsidP="00AA5BA4">
            <w:pPr>
              <w:jc w:val="both"/>
              <w:rPr>
                <w:rFonts w:ascii="Arial" w:hAnsi="Arial" w:cs="Arial"/>
              </w:rPr>
            </w:pPr>
            <w:r>
              <w:rPr>
                <w:rFonts w:ascii="Arial" w:hAnsi="Arial" w:cs="Arial"/>
              </w:rPr>
              <w:t>T</w:t>
            </w:r>
            <w:r w:rsidR="00BF1EBC">
              <w:rPr>
                <w:rFonts w:ascii="Arial" w:hAnsi="Arial" w:cs="Arial"/>
              </w:rPr>
              <w:t xml:space="preserve">he development is classified as nominated integrated development and therefore requires General Terms of Approval (GTAs) from Heritage NSW. </w:t>
            </w:r>
          </w:p>
          <w:p w14:paraId="3E648D36" w14:textId="09153CE3" w:rsidR="00E570BF" w:rsidRDefault="00E570BF" w:rsidP="00AA5BA4">
            <w:pPr>
              <w:jc w:val="both"/>
              <w:rPr>
                <w:rFonts w:ascii="Arial" w:hAnsi="Arial" w:cs="Arial"/>
              </w:rPr>
            </w:pPr>
          </w:p>
          <w:p w14:paraId="5BF6469E" w14:textId="066C612D" w:rsidR="00BF1EBC" w:rsidRPr="00BF1EBC" w:rsidRDefault="00E570BF" w:rsidP="00AA5BA4">
            <w:pPr>
              <w:jc w:val="both"/>
              <w:rPr>
                <w:rFonts w:ascii="Arial" w:hAnsi="Arial" w:cs="Arial"/>
              </w:rPr>
            </w:pPr>
            <w:r>
              <w:rPr>
                <w:rFonts w:ascii="Arial" w:hAnsi="Arial" w:cs="Arial"/>
              </w:rPr>
              <w:t xml:space="preserve">In response to the above works, this clause is applicable to the subject DA. </w:t>
            </w:r>
          </w:p>
          <w:p w14:paraId="1EEE9E9B" w14:textId="1FEC5F57" w:rsidR="00DA7F22" w:rsidRPr="006B2335" w:rsidRDefault="00DA7F22" w:rsidP="00AA5BA4">
            <w:pPr>
              <w:jc w:val="both"/>
            </w:pPr>
          </w:p>
        </w:tc>
        <w:tc>
          <w:tcPr>
            <w:tcW w:w="1503" w:type="dxa"/>
            <w:tcBorders>
              <w:bottom w:val="single" w:sz="4" w:space="0" w:color="FFFFFF"/>
            </w:tcBorders>
          </w:tcPr>
          <w:p w14:paraId="18597A8F" w14:textId="77777777" w:rsidR="00BF1EBC" w:rsidRDefault="00BF1EBC" w:rsidP="00BF1EBC">
            <w:pPr>
              <w:jc w:val="center"/>
              <w:rPr>
                <w:rFonts w:ascii="Arial" w:hAnsi="Arial" w:cs="Arial"/>
              </w:rPr>
            </w:pPr>
          </w:p>
          <w:p w14:paraId="43476F95" w14:textId="07A321EF" w:rsidR="00AB477A" w:rsidRPr="00BF1EBC" w:rsidRDefault="00BF1EBC" w:rsidP="00BF1EBC">
            <w:pPr>
              <w:jc w:val="center"/>
              <w:rPr>
                <w:rFonts w:ascii="Arial" w:hAnsi="Arial" w:cs="Arial"/>
              </w:rPr>
            </w:pPr>
            <w:r w:rsidRPr="00BF1EBC">
              <w:rPr>
                <w:rFonts w:ascii="Arial" w:hAnsi="Arial" w:cs="Arial"/>
              </w:rPr>
              <w:t>Applicable</w:t>
            </w:r>
          </w:p>
        </w:tc>
      </w:tr>
      <w:tr w:rsidR="00DA7F22" w14:paraId="3EDCAE5E" w14:textId="77777777" w:rsidTr="00BA4BF4">
        <w:tc>
          <w:tcPr>
            <w:tcW w:w="2767" w:type="dxa"/>
            <w:tcBorders>
              <w:top w:val="single" w:sz="4" w:space="0" w:color="FFFFFF"/>
              <w:bottom w:val="single" w:sz="4" w:space="0" w:color="FFFFFF"/>
            </w:tcBorders>
          </w:tcPr>
          <w:p w14:paraId="11B33021" w14:textId="521C3969" w:rsidR="00DA7F22" w:rsidRPr="00E570BF" w:rsidRDefault="00DA7F22" w:rsidP="00AA5BA4">
            <w:pPr>
              <w:jc w:val="both"/>
              <w:rPr>
                <w:rFonts w:ascii="Arial" w:hAnsi="Arial" w:cs="Arial"/>
                <w:i/>
                <w:iCs/>
                <w:szCs w:val="22"/>
                <w:shd w:val="clear" w:color="auto" w:fill="FFFFFF"/>
              </w:rPr>
            </w:pPr>
            <w:r w:rsidRPr="00E570BF">
              <w:rPr>
                <w:rStyle w:val="frag-heading"/>
                <w:rFonts w:ascii="Arial" w:hAnsi="Arial" w:cs="Arial"/>
                <w:b/>
                <w:bCs/>
                <w:i/>
                <w:iCs/>
                <w:color w:val="000000"/>
                <w:szCs w:val="22"/>
                <w:shd w:val="clear" w:color="auto" w:fill="FFFFFF"/>
              </w:rPr>
              <w:t>Effect of proposed development on heritage significance</w:t>
            </w:r>
            <w:r w:rsidR="00E570BF">
              <w:rPr>
                <w:rFonts w:ascii="Arial" w:hAnsi="Arial" w:cs="Arial"/>
                <w:i/>
                <w:iCs/>
                <w:szCs w:val="22"/>
                <w:shd w:val="clear" w:color="auto" w:fill="FFFFFF"/>
              </w:rPr>
              <w:t xml:space="preserve"> – </w:t>
            </w:r>
            <w:r w:rsidRPr="00E570BF">
              <w:rPr>
                <w:rFonts w:ascii="Arial" w:hAnsi="Arial" w:cs="Arial"/>
                <w:i/>
                <w:iCs/>
                <w:szCs w:val="22"/>
                <w:shd w:val="clear" w:color="auto" w:fill="FFFFFF"/>
              </w:rPr>
              <w:t xml:space="preserve"> The consent authority must, before granting consent under this clause in respect of a heritage item or heritage conservation area, consider the effect of the proposed development on the heritage significance of the item or area concerned. This subclause applies regardless of whether a heritage management document is prepared under </w:t>
            </w:r>
            <w:r w:rsidRPr="00E570BF">
              <w:rPr>
                <w:rFonts w:ascii="Arial" w:hAnsi="Arial" w:cs="Arial"/>
                <w:i/>
                <w:iCs/>
                <w:szCs w:val="22"/>
                <w:shd w:val="clear" w:color="auto" w:fill="FFFFFF"/>
              </w:rPr>
              <w:lastRenderedPageBreak/>
              <w:t>subclause (5) or a heritage conservation management plan is submitted under subclause (6).</w:t>
            </w:r>
          </w:p>
          <w:p w14:paraId="224A21C1" w14:textId="77777777" w:rsidR="00DA7F22" w:rsidRPr="00E570BF" w:rsidRDefault="00DA7F22" w:rsidP="00AA5BA4">
            <w:pPr>
              <w:jc w:val="both"/>
              <w:rPr>
                <w:rFonts w:ascii="Arial" w:hAnsi="Arial" w:cs="Arial"/>
                <w:i/>
                <w:iCs/>
                <w:szCs w:val="22"/>
              </w:rPr>
            </w:pPr>
          </w:p>
        </w:tc>
        <w:tc>
          <w:tcPr>
            <w:tcW w:w="4032" w:type="dxa"/>
            <w:tcBorders>
              <w:top w:val="single" w:sz="4" w:space="0" w:color="FFFFFF"/>
              <w:bottom w:val="single" w:sz="4" w:space="0" w:color="FFFFFF"/>
            </w:tcBorders>
          </w:tcPr>
          <w:p w14:paraId="10FDB2B2" w14:textId="61454061" w:rsidR="00DA7F22" w:rsidRDefault="00E570BF" w:rsidP="00AA5BA4">
            <w:pPr>
              <w:spacing w:before="60" w:after="60"/>
              <w:jc w:val="both"/>
              <w:rPr>
                <w:rFonts w:ascii="Arial" w:hAnsi="Arial" w:cs="Arial"/>
                <w:szCs w:val="22"/>
              </w:rPr>
            </w:pPr>
            <w:r>
              <w:rPr>
                <w:rFonts w:ascii="Arial" w:hAnsi="Arial" w:cs="Arial"/>
                <w:szCs w:val="22"/>
              </w:rPr>
              <w:lastRenderedPageBreak/>
              <w:t xml:space="preserve">As detailed in the main assessment report, the following conclusions have been drawn: </w:t>
            </w:r>
          </w:p>
          <w:p w14:paraId="3B1DD35B" w14:textId="0520C48D" w:rsidR="00E570BF" w:rsidRPr="00E570BF" w:rsidRDefault="00E570BF" w:rsidP="00E570BF">
            <w:pPr>
              <w:pStyle w:val="ListParagraph"/>
              <w:numPr>
                <w:ilvl w:val="0"/>
                <w:numId w:val="1"/>
              </w:numPr>
              <w:spacing w:before="60" w:after="60"/>
              <w:ind w:left="239" w:hanging="239"/>
              <w:jc w:val="both"/>
              <w:rPr>
                <w:rFonts w:ascii="Arial" w:hAnsi="Arial" w:cs="Arial"/>
              </w:rPr>
            </w:pPr>
            <w:r>
              <w:rPr>
                <w:rFonts w:ascii="Arial" w:hAnsi="Arial" w:cs="Arial"/>
              </w:rPr>
              <w:t xml:space="preserve">The development has appropriately considered key significant features of the site to ensure they are maintained for future generations. Specifically, this includes the provision of key view corridors and vistas from the southern, </w:t>
            </w:r>
            <w:r w:rsidR="009554A9">
              <w:rPr>
                <w:rFonts w:ascii="Arial" w:hAnsi="Arial" w:cs="Arial"/>
              </w:rPr>
              <w:t>western,</w:t>
            </w:r>
            <w:r>
              <w:rPr>
                <w:rFonts w:ascii="Arial" w:hAnsi="Arial" w:cs="Arial"/>
              </w:rPr>
              <w:t xml:space="preserve"> and northern elevation</w:t>
            </w:r>
            <w:r w:rsidR="00245622">
              <w:rPr>
                <w:rFonts w:ascii="Arial" w:hAnsi="Arial" w:cs="Arial"/>
              </w:rPr>
              <w:t>s and to the former Engine House</w:t>
            </w:r>
            <w:r>
              <w:rPr>
                <w:rFonts w:ascii="Arial" w:hAnsi="Arial" w:cs="Arial"/>
              </w:rPr>
              <w:t xml:space="preserve">. </w:t>
            </w:r>
          </w:p>
          <w:p w14:paraId="63193A65" w14:textId="6C818910" w:rsidR="00E570BF" w:rsidRPr="00BA4BF4" w:rsidRDefault="00E570BF" w:rsidP="00E570BF">
            <w:pPr>
              <w:pStyle w:val="ListParagraph"/>
              <w:numPr>
                <w:ilvl w:val="0"/>
                <w:numId w:val="1"/>
              </w:numPr>
              <w:spacing w:before="60" w:after="60"/>
              <w:ind w:left="239" w:hanging="239"/>
              <w:jc w:val="both"/>
              <w:rPr>
                <w:rFonts w:ascii="Arial" w:hAnsi="Arial" w:cs="Arial"/>
              </w:rPr>
            </w:pPr>
            <w:r>
              <w:rPr>
                <w:rFonts w:ascii="Arial" w:hAnsi="Arial" w:cs="Arial"/>
              </w:rPr>
              <w:t xml:space="preserve">The development establishes an appropriate setback from key buildings and significant view lines to ensure the density of the proposed development does not compromise the amenity of the </w:t>
            </w:r>
            <w:r w:rsidRPr="00BA4BF4">
              <w:rPr>
                <w:rFonts w:ascii="Arial" w:hAnsi="Arial" w:cs="Arial"/>
              </w:rPr>
              <w:t xml:space="preserve">wider heritage site.  </w:t>
            </w:r>
          </w:p>
          <w:p w14:paraId="443E4337" w14:textId="5520F7D7" w:rsidR="00E570BF" w:rsidRPr="00BA4BF4" w:rsidRDefault="00E570BF" w:rsidP="00E570BF">
            <w:pPr>
              <w:pStyle w:val="ListParagraph"/>
              <w:numPr>
                <w:ilvl w:val="0"/>
                <w:numId w:val="1"/>
              </w:numPr>
              <w:spacing w:before="60" w:after="60"/>
              <w:ind w:left="239" w:hanging="239"/>
              <w:jc w:val="both"/>
              <w:rPr>
                <w:rFonts w:ascii="Arial" w:hAnsi="Arial" w:cs="Arial"/>
              </w:rPr>
            </w:pPr>
            <w:r w:rsidRPr="00BA4BF4">
              <w:rPr>
                <w:rFonts w:ascii="Arial" w:hAnsi="Arial" w:cs="Arial"/>
              </w:rPr>
              <w:lastRenderedPageBreak/>
              <w:t xml:space="preserve">The provision of landscaping within the development site reduces the dominance of proposed built forms </w:t>
            </w:r>
            <w:r w:rsidR="00161C4F">
              <w:rPr>
                <w:rFonts w:ascii="Arial" w:hAnsi="Arial" w:cs="Arial"/>
              </w:rPr>
              <w:t xml:space="preserve">from </w:t>
            </w:r>
            <w:r w:rsidRPr="00BA4BF4">
              <w:rPr>
                <w:rFonts w:ascii="Arial" w:hAnsi="Arial" w:cs="Arial"/>
              </w:rPr>
              <w:t xml:space="preserve">the public domain and within the adjoining golf club/course site. </w:t>
            </w:r>
          </w:p>
          <w:p w14:paraId="7344C6BE" w14:textId="5EFFE2AA" w:rsidR="00245622" w:rsidRPr="00161C4F" w:rsidRDefault="00161C4F" w:rsidP="00245622">
            <w:pPr>
              <w:pStyle w:val="ListParagraph"/>
              <w:numPr>
                <w:ilvl w:val="0"/>
                <w:numId w:val="1"/>
              </w:numPr>
              <w:spacing w:before="60" w:after="60"/>
              <w:ind w:left="239" w:hanging="239"/>
              <w:jc w:val="both"/>
              <w:rPr>
                <w:rFonts w:ascii="Arial" w:hAnsi="Arial" w:cs="Arial"/>
              </w:rPr>
            </w:pPr>
            <w:r>
              <w:rPr>
                <w:rFonts w:ascii="Arial" w:hAnsi="Arial" w:cs="Arial"/>
              </w:rPr>
              <w:t>The p</w:t>
            </w:r>
            <w:r w:rsidR="00245622" w:rsidRPr="00161C4F">
              <w:rPr>
                <w:rFonts w:ascii="Arial" w:hAnsi="Arial" w:cs="Arial"/>
              </w:rPr>
              <w:t xml:space="preserve">roposed colours and finishes are sympathetic to </w:t>
            </w:r>
            <w:r>
              <w:rPr>
                <w:rFonts w:ascii="Arial" w:hAnsi="Arial" w:cs="Arial"/>
              </w:rPr>
              <w:t xml:space="preserve">the </w:t>
            </w:r>
            <w:r w:rsidR="00245622" w:rsidRPr="00161C4F">
              <w:rPr>
                <w:rFonts w:ascii="Arial" w:hAnsi="Arial" w:cs="Arial"/>
              </w:rPr>
              <w:t>existing heritage item</w:t>
            </w:r>
            <w:r w:rsidR="009554A9">
              <w:rPr>
                <w:rFonts w:ascii="Arial" w:hAnsi="Arial" w:cs="Arial"/>
              </w:rPr>
              <w:t xml:space="preserve"> (subject to recommended conditions)</w:t>
            </w:r>
            <w:r w:rsidR="00245622" w:rsidRPr="00161C4F">
              <w:rPr>
                <w:rFonts w:ascii="Arial" w:hAnsi="Arial" w:cs="Arial"/>
              </w:rPr>
              <w:t xml:space="preserve">. </w:t>
            </w:r>
          </w:p>
          <w:p w14:paraId="1BF14BAC" w14:textId="3CB81841" w:rsidR="00E570BF" w:rsidRDefault="00E570BF" w:rsidP="00E570BF">
            <w:pPr>
              <w:pStyle w:val="ListParagraph"/>
              <w:numPr>
                <w:ilvl w:val="0"/>
                <w:numId w:val="1"/>
              </w:numPr>
              <w:spacing w:before="60" w:after="60"/>
              <w:ind w:left="239" w:hanging="239"/>
              <w:jc w:val="both"/>
              <w:rPr>
                <w:rFonts w:ascii="Arial" w:hAnsi="Arial" w:cs="Arial"/>
              </w:rPr>
            </w:pPr>
            <w:r>
              <w:rPr>
                <w:rFonts w:ascii="Arial" w:hAnsi="Arial" w:cs="Arial"/>
              </w:rPr>
              <w:t xml:space="preserve">The development </w:t>
            </w:r>
            <w:r w:rsidR="009554A9">
              <w:rPr>
                <w:rFonts w:ascii="Arial" w:hAnsi="Arial" w:cs="Arial"/>
              </w:rPr>
              <w:t>is</w:t>
            </w:r>
            <w:r>
              <w:rPr>
                <w:rFonts w:ascii="Arial" w:hAnsi="Arial" w:cs="Arial"/>
              </w:rPr>
              <w:t xml:space="preserve"> in accordance with the draft Conservation Management Plan (CMP) prepared for the subject site.</w:t>
            </w:r>
          </w:p>
          <w:p w14:paraId="62EB4A93" w14:textId="762A3167" w:rsidR="00E570BF" w:rsidRPr="00161C4F" w:rsidRDefault="00E570BF" w:rsidP="00E570BF">
            <w:pPr>
              <w:pStyle w:val="ListParagraph"/>
              <w:numPr>
                <w:ilvl w:val="0"/>
                <w:numId w:val="1"/>
              </w:numPr>
              <w:spacing w:before="60" w:after="60"/>
              <w:ind w:left="239" w:hanging="239"/>
              <w:jc w:val="both"/>
              <w:rPr>
                <w:rFonts w:ascii="Arial" w:hAnsi="Arial" w:cs="Arial"/>
              </w:rPr>
            </w:pPr>
            <w:r>
              <w:rPr>
                <w:rFonts w:ascii="Arial" w:hAnsi="Arial" w:cs="Arial"/>
              </w:rPr>
              <w:t>Council</w:t>
            </w:r>
            <w:r w:rsidR="009554A9">
              <w:rPr>
                <w:rFonts w:ascii="Arial" w:hAnsi="Arial" w:cs="Arial"/>
              </w:rPr>
              <w:t>’</w:t>
            </w:r>
            <w:r>
              <w:rPr>
                <w:rFonts w:ascii="Arial" w:hAnsi="Arial" w:cs="Arial"/>
              </w:rPr>
              <w:t>s Heritage Advisor is satisfied that</w:t>
            </w:r>
            <w:r w:rsidR="00161C4F">
              <w:rPr>
                <w:rFonts w:ascii="Arial" w:hAnsi="Arial" w:cs="Arial"/>
              </w:rPr>
              <w:t>,</w:t>
            </w:r>
            <w:r>
              <w:rPr>
                <w:rFonts w:ascii="Arial" w:hAnsi="Arial" w:cs="Arial"/>
              </w:rPr>
              <w:t xml:space="preserve"> subject to the imposition of recommended conditions of consent, the </w:t>
            </w:r>
            <w:r w:rsidRPr="00161C4F">
              <w:rPr>
                <w:rFonts w:ascii="Arial" w:hAnsi="Arial" w:cs="Arial"/>
              </w:rPr>
              <w:t xml:space="preserve">development will not compromise the significant of the site. </w:t>
            </w:r>
          </w:p>
          <w:p w14:paraId="25F52999" w14:textId="2CF3BEEE" w:rsidR="00E570BF" w:rsidRPr="00161C4F" w:rsidRDefault="00E570BF" w:rsidP="00E570BF">
            <w:pPr>
              <w:pStyle w:val="ListParagraph"/>
              <w:numPr>
                <w:ilvl w:val="0"/>
                <w:numId w:val="1"/>
              </w:numPr>
              <w:spacing w:before="60" w:after="60"/>
              <w:ind w:left="239" w:hanging="239"/>
              <w:jc w:val="both"/>
              <w:rPr>
                <w:rFonts w:ascii="Arial" w:hAnsi="Arial" w:cs="Arial"/>
              </w:rPr>
            </w:pPr>
            <w:r w:rsidRPr="00161C4F">
              <w:rPr>
                <w:rFonts w:ascii="Arial" w:hAnsi="Arial" w:cs="Arial"/>
              </w:rPr>
              <w:t xml:space="preserve">Heritage NSW have </w:t>
            </w:r>
            <w:r w:rsidR="009554A9">
              <w:rPr>
                <w:rFonts w:ascii="Arial" w:hAnsi="Arial" w:cs="Arial"/>
              </w:rPr>
              <w:t>issued</w:t>
            </w:r>
            <w:r w:rsidRPr="00161C4F">
              <w:rPr>
                <w:rFonts w:ascii="Arial" w:hAnsi="Arial" w:cs="Arial"/>
              </w:rPr>
              <w:t xml:space="preserve"> GTAs for the subject proposal</w:t>
            </w:r>
            <w:r w:rsidR="00161C4F" w:rsidRPr="00161C4F">
              <w:rPr>
                <w:rFonts w:ascii="Arial" w:hAnsi="Arial" w:cs="Arial"/>
              </w:rPr>
              <w:t>.</w:t>
            </w:r>
          </w:p>
          <w:p w14:paraId="29E5BBF3" w14:textId="77777777" w:rsidR="00DA7F22" w:rsidRPr="00161C4F" w:rsidRDefault="00DA7F22" w:rsidP="00AA5BA4">
            <w:pPr>
              <w:spacing w:before="60" w:after="60"/>
              <w:jc w:val="both"/>
              <w:rPr>
                <w:rFonts w:ascii="Arial" w:hAnsi="Arial" w:cs="Arial"/>
                <w:szCs w:val="22"/>
              </w:rPr>
            </w:pPr>
          </w:p>
          <w:p w14:paraId="0B158D6E" w14:textId="09C00639" w:rsidR="00245622" w:rsidRDefault="00245622" w:rsidP="00AA5BA4">
            <w:pPr>
              <w:spacing w:before="60" w:after="60"/>
              <w:jc w:val="both"/>
              <w:rPr>
                <w:rFonts w:ascii="Arial" w:hAnsi="Arial" w:cs="Arial"/>
                <w:szCs w:val="22"/>
              </w:rPr>
            </w:pPr>
            <w:r w:rsidRPr="00161C4F">
              <w:rPr>
                <w:rFonts w:ascii="Arial" w:hAnsi="Arial" w:cs="Arial"/>
                <w:szCs w:val="22"/>
              </w:rPr>
              <w:t>Subject to the above assessment and imposition of recommended</w:t>
            </w:r>
            <w:r>
              <w:rPr>
                <w:rFonts w:ascii="Arial" w:hAnsi="Arial" w:cs="Arial"/>
                <w:szCs w:val="22"/>
              </w:rPr>
              <w:t xml:space="preserve"> conditions of consent, the development is consistent with this subclause. </w:t>
            </w:r>
          </w:p>
          <w:p w14:paraId="6FBD1860" w14:textId="0125B29B" w:rsidR="00BA4BF4" w:rsidRDefault="00BA4BF4" w:rsidP="00AA5BA4">
            <w:pPr>
              <w:spacing w:before="60" w:after="60"/>
              <w:jc w:val="both"/>
              <w:rPr>
                <w:rFonts w:ascii="Arial" w:hAnsi="Arial" w:cs="Arial"/>
                <w:szCs w:val="22"/>
              </w:rPr>
            </w:pPr>
          </w:p>
        </w:tc>
        <w:tc>
          <w:tcPr>
            <w:tcW w:w="1503" w:type="dxa"/>
            <w:tcBorders>
              <w:top w:val="single" w:sz="4" w:space="0" w:color="FFFFFF"/>
            </w:tcBorders>
          </w:tcPr>
          <w:p w14:paraId="445D002E" w14:textId="56AAA167" w:rsidR="00DA7F22" w:rsidRDefault="00E570BF" w:rsidP="00E570BF">
            <w:pPr>
              <w:spacing w:before="60" w:after="60"/>
              <w:jc w:val="center"/>
              <w:rPr>
                <w:rFonts w:ascii="Arial" w:hAnsi="Arial" w:cs="Arial"/>
                <w:szCs w:val="22"/>
              </w:rPr>
            </w:pPr>
            <w:r>
              <w:rPr>
                <w:rFonts w:ascii="Arial" w:hAnsi="Arial" w:cs="Arial"/>
                <w:szCs w:val="22"/>
              </w:rPr>
              <w:lastRenderedPageBreak/>
              <w:t>Yes</w:t>
            </w:r>
          </w:p>
        </w:tc>
      </w:tr>
      <w:tr w:rsidR="00DA7F22" w14:paraId="27252A53" w14:textId="77777777" w:rsidTr="00BA4BF4">
        <w:tc>
          <w:tcPr>
            <w:tcW w:w="2767" w:type="dxa"/>
            <w:tcBorders>
              <w:top w:val="single" w:sz="4" w:space="0" w:color="FFFFFF"/>
              <w:bottom w:val="single" w:sz="4" w:space="0" w:color="FFFFFF"/>
            </w:tcBorders>
          </w:tcPr>
          <w:p w14:paraId="5AA4BCC8" w14:textId="77777777" w:rsidR="00DA7F22" w:rsidRDefault="00DA7F22" w:rsidP="00AA5BA4">
            <w:pPr>
              <w:jc w:val="both"/>
              <w:rPr>
                <w:rFonts w:ascii="Arial" w:hAnsi="Arial" w:cs="Arial"/>
                <w:i/>
                <w:iCs/>
                <w:shd w:val="clear" w:color="auto" w:fill="FFFFFF"/>
              </w:rPr>
            </w:pPr>
            <w:r w:rsidRPr="00C054C7">
              <w:rPr>
                <w:rFonts w:ascii="Arial" w:hAnsi="Arial" w:cs="Arial"/>
                <w:i/>
                <w:iCs/>
                <w:shd w:val="clear" w:color="auto" w:fill="FFFFFF"/>
              </w:rPr>
              <w:t>The consent authority may, before granting consent to any development</w:t>
            </w:r>
            <w:r>
              <w:rPr>
                <w:rFonts w:ascii="Arial" w:hAnsi="Arial" w:cs="Arial"/>
                <w:i/>
                <w:iCs/>
                <w:shd w:val="clear" w:color="auto" w:fill="FFFFFF"/>
              </w:rPr>
              <w:t xml:space="preserve"> </w:t>
            </w:r>
            <w:r w:rsidRPr="00C054C7">
              <w:rPr>
                <w:rFonts w:ascii="Arial" w:hAnsi="Arial" w:cs="Arial"/>
                <w:i/>
                <w:iCs/>
              </w:rPr>
              <w:t>on land on which a heritage item is located,</w:t>
            </w:r>
            <w:r>
              <w:rPr>
                <w:rFonts w:ascii="Arial" w:hAnsi="Arial" w:cs="Arial"/>
                <w:i/>
                <w:iCs/>
              </w:rPr>
              <w:t xml:space="preserve"> </w:t>
            </w:r>
            <w:r w:rsidRPr="00C054C7">
              <w:rPr>
                <w:rFonts w:ascii="Arial" w:hAnsi="Arial" w:cs="Arial"/>
                <w:i/>
                <w:iCs/>
                <w:shd w:val="clear" w:color="auto" w:fill="FFFFFF"/>
              </w:rPr>
              <w:t>require a heritage management document to be prepared that assesses the extent to which the carrying out of the proposed development would affect the heritage significance of the heritage item or heritage conservation area concerned.</w:t>
            </w:r>
          </w:p>
          <w:p w14:paraId="331A14D4" w14:textId="77777777" w:rsidR="00BA4BF4" w:rsidRPr="00C054C7" w:rsidRDefault="00BA4BF4" w:rsidP="00AA5BA4">
            <w:pPr>
              <w:jc w:val="both"/>
              <w:rPr>
                <w:rStyle w:val="frag-heading"/>
                <w:rFonts w:ascii="Arial" w:hAnsi="Arial" w:cs="Arial"/>
                <w:i/>
                <w:iCs/>
                <w:sz w:val="24"/>
                <w:szCs w:val="24"/>
              </w:rPr>
            </w:pPr>
          </w:p>
        </w:tc>
        <w:tc>
          <w:tcPr>
            <w:tcW w:w="4032" w:type="dxa"/>
            <w:tcBorders>
              <w:top w:val="single" w:sz="4" w:space="0" w:color="FFFFFF"/>
              <w:bottom w:val="single" w:sz="4" w:space="0" w:color="FFFFFF"/>
            </w:tcBorders>
          </w:tcPr>
          <w:p w14:paraId="663575BF" w14:textId="5067F513" w:rsidR="00DA7F22" w:rsidRDefault="00BA4BF4" w:rsidP="00AA5BA4">
            <w:pPr>
              <w:spacing w:before="60" w:after="60"/>
              <w:jc w:val="both"/>
              <w:rPr>
                <w:rFonts w:ascii="Arial" w:hAnsi="Arial" w:cs="Arial"/>
                <w:szCs w:val="22"/>
              </w:rPr>
            </w:pPr>
            <w:r>
              <w:rPr>
                <w:rFonts w:ascii="Arial" w:hAnsi="Arial" w:cs="Arial"/>
                <w:szCs w:val="22"/>
              </w:rPr>
              <w:t xml:space="preserve">The DA was accompanied </w:t>
            </w:r>
            <w:r w:rsidR="00161C4F">
              <w:rPr>
                <w:rFonts w:ascii="Arial" w:hAnsi="Arial" w:cs="Arial"/>
                <w:szCs w:val="22"/>
              </w:rPr>
              <w:t>by</w:t>
            </w:r>
            <w:r>
              <w:rPr>
                <w:rFonts w:ascii="Arial" w:hAnsi="Arial" w:cs="Arial"/>
                <w:szCs w:val="22"/>
              </w:rPr>
              <w:t xml:space="preserve"> a draft CMP prepared for the site, which has been endorsed by Heritage NSW. </w:t>
            </w:r>
            <w:r w:rsidR="009554A9">
              <w:rPr>
                <w:rFonts w:ascii="Arial" w:hAnsi="Arial" w:cs="Arial"/>
                <w:szCs w:val="22"/>
              </w:rPr>
              <w:t>T</w:t>
            </w:r>
            <w:r>
              <w:rPr>
                <w:rFonts w:ascii="Arial" w:hAnsi="Arial" w:cs="Arial"/>
                <w:szCs w:val="22"/>
              </w:rPr>
              <w:t xml:space="preserve">he proposed development is consistent with the CMP. </w:t>
            </w:r>
          </w:p>
        </w:tc>
        <w:tc>
          <w:tcPr>
            <w:tcW w:w="1503" w:type="dxa"/>
            <w:tcBorders>
              <w:top w:val="single" w:sz="4" w:space="0" w:color="FFFFFF"/>
              <w:bottom w:val="single" w:sz="4" w:space="0" w:color="FFFFFF"/>
            </w:tcBorders>
          </w:tcPr>
          <w:p w14:paraId="2BF312CE" w14:textId="513C677C" w:rsidR="00DA7F22" w:rsidRDefault="00BA4BF4" w:rsidP="00BA4BF4">
            <w:pPr>
              <w:spacing w:before="60" w:after="60"/>
              <w:jc w:val="center"/>
              <w:rPr>
                <w:rFonts w:ascii="Arial" w:hAnsi="Arial" w:cs="Arial"/>
                <w:szCs w:val="22"/>
              </w:rPr>
            </w:pPr>
            <w:r>
              <w:rPr>
                <w:rFonts w:ascii="Arial" w:hAnsi="Arial" w:cs="Arial"/>
                <w:szCs w:val="22"/>
              </w:rPr>
              <w:t xml:space="preserve">Yes </w:t>
            </w:r>
          </w:p>
        </w:tc>
      </w:tr>
      <w:tr w:rsidR="00DA7F22" w14:paraId="4C94CA92" w14:textId="77777777" w:rsidTr="004D566A">
        <w:tc>
          <w:tcPr>
            <w:tcW w:w="2767" w:type="dxa"/>
            <w:tcBorders>
              <w:top w:val="single" w:sz="4" w:space="0" w:color="FFFFFF"/>
              <w:bottom w:val="single" w:sz="4" w:space="0" w:color="FFFFFF"/>
            </w:tcBorders>
          </w:tcPr>
          <w:p w14:paraId="57D5828D" w14:textId="49E3EAC5" w:rsidR="00DA7F22" w:rsidRDefault="00DA7F22" w:rsidP="00AA5BA4">
            <w:pPr>
              <w:jc w:val="both"/>
              <w:rPr>
                <w:rFonts w:ascii="Arial" w:hAnsi="Arial" w:cs="Arial"/>
                <w:i/>
                <w:iCs/>
                <w:shd w:val="clear" w:color="auto" w:fill="FFFFFF"/>
              </w:rPr>
            </w:pPr>
            <w:r w:rsidRPr="00BA4BF4">
              <w:rPr>
                <w:rStyle w:val="frag-heading"/>
                <w:rFonts w:ascii="Arial" w:hAnsi="Arial" w:cs="Arial"/>
                <w:b/>
                <w:bCs/>
                <w:i/>
                <w:iCs/>
                <w:color w:val="000000"/>
                <w:shd w:val="clear" w:color="auto" w:fill="FFFFFF"/>
              </w:rPr>
              <w:t>Heritage conservation management plans</w:t>
            </w:r>
            <w:r w:rsidRPr="00DF2CD9">
              <w:rPr>
                <w:rFonts w:ascii="Arial" w:hAnsi="Arial" w:cs="Arial"/>
                <w:i/>
                <w:iCs/>
                <w:shd w:val="clear" w:color="auto" w:fill="FFFFFF"/>
              </w:rPr>
              <w:t> </w:t>
            </w:r>
            <w:r w:rsidR="00BA4BF4">
              <w:rPr>
                <w:rFonts w:ascii="Arial" w:hAnsi="Arial" w:cs="Arial"/>
                <w:i/>
                <w:iCs/>
                <w:shd w:val="clear" w:color="auto" w:fill="FFFFFF"/>
              </w:rPr>
              <w:t>–</w:t>
            </w:r>
            <w:r w:rsidRPr="00DF2CD9">
              <w:rPr>
                <w:rFonts w:ascii="Arial" w:hAnsi="Arial" w:cs="Arial"/>
                <w:i/>
                <w:iCs/>
                <w:shd w:val="clear" w:color="auto" w:fill="FFFFFF"/>
              </w:rPr>
              <w:t>The consent authority may require, after considering the heritage significance of a heritage item and the extent of change proposed to it, the submission of a heritage conservation management plan before granting consent under this clause.</w:t>
            </w:r>
          </w:p>
          <w:p w14:paraId="34FE313E" w14:textId="77777777" w:rsidR="00DA7F22" w:rsidRPr="00DF2CD9" w:rsidRDefault="00DA7F22" w:rsidP="00AA5BA4">
            <w:pPr>
              <w:jc w:val="both"/>
              <w:rPr>
                <w:rFonts w:ascii="Arial" w:hAnsi="Arial" w:cs="Arial"/>
                <w:i/>
                <w:iCs/>
                <w:shd w:val="clear" w:color="auto" w:fill="FFFFFF"/>
              </w:rPr>
            </w:pPr>
          </w:p>
        </w:tc>
        <w:tc>
          <w:tcPr>
            <w:tcW w:w="4032" w:type="dxa"/>
            <w:tcBorders>
              <w:top w:val="single" w:sz="4" w:space="0" w:color="FFFFFF"/>
              <w:bottom w:val="single" w:sz="4" w:space="0" w:color="FFFFFF"/>
            </w:tcBorders>
          </w:tcPr>
          <w:p w14:paraId="16B3DF15" w14:textId="7A1C25C0" w:rsidR="00DA7F22" w:rsidRDefault="00BA4BF4" w:rsidP="00AA5BA4">
            <w:pPr>
              <w:spacing w:before="60" w:after="60"/>
              <w:jc w:val="both"/>
              <w:rPr>
                <w:rFonts w:ascii="Arial" w:hAnsi="Arial" w:cs="Arial"/>
                <w:szCs w:val="22"/>
              </w:rPr>
            </w:pPr>
            <w:r>
              <w:rPr>
                <w:rFonts w:ascii="Arial" w:hAnsi="Arial" w:cs="Arial"/>
                <w:szCs w:val="22"/>
              </w:rPr>
              <w:t xml:space="preserve">As noted above, the DA was accompanied </w:t>
            </w:r>
            <w:r w:rsidR="00161C4F">
              <w:rPr>
                <w:rFonts w:ascii="Arial" w:hAnsi="Arial" w:cs="Arial"/>
                <w:szCs w:val="22"/>
              </w:rPr>
              <w:t>by</w:t>
            </w:r>
            <w:r>
              <w:rPr>
                <w:rFonts w:ascii="Arial" w:hAnsi="Arial" w:cs="Arial"/>
                <w:szCs w:val="22"/>
              </w:rPr>
              <w:t xml:space="preserve"> a draft CMP </w:t>
            </w:r>
            <w:r w:rsidR="009554A9">
              <w:rPr>
                <w:rFonts w:ascii="Arial" w:hAnsi="Arial" w:cs="Arial"/>
                <w:szCs w:val="22"/>
              </w:rPr>
              <w:t xml:space="preserve">that </w:t>
            </w:r>
            <w:r>
              <w:rPr>
                <w:rFonts w:ascii="Arial" w:hAnsi="Arial" w:cs="Arial"/>
                <w:szCs w:val="22"/>
              </w:rPr>
              <w:t xml:space="preserve">has been endorsed by Heritage NSW.  </w:t>
            </w:r>
            <w:r w:rsidR="00DA7F22">
              <w:rPr>
                <w:rFonts w:ascii="Arial" w:hAnsi="Arial" w:cs="Arial"/>
                <w:szCs w:val="22"/>
              </w:rPr>
              <w:t xml:space="preserve"> </w:t>
            </w:r>
          </w:p>
        </w:tc>
        <w:tc>
          <w:tcPr>
            <w:tcW w:w="1503" w:type="dxa"/>
            <w:tcBorders>
              <w:top w:val="single" w:sz="4" w:space="0" w:color="FFFFFF"/>
            </w:tcBorders>
          </w:tcPr>
          <w:p w14:paraId="0D81EE04" w14:textId="47B251BF" w:rsidR="00DA7F22" w:rsidRDefault="00BA4BF4" w:rsidP="00BA4BF4">
            <w:pPr>
              <w:spacing w:before="60" w:after="60"/>
              <w:jc w:val="center"/>
              <w:rPr>
                <w:rFonts w:ascii="Arial" w:hAnsi="Arial" w:cs="Arial"/>
                <w:szCs w:val="22"/>
              </w:rPr>
            </w:pPr>
            <w:r>
              <w:rPr>
                <w:rFonts w:ascii="Arial" w:hAnsi="Arial" w:cs="Arial"/>
                <w:szCs w:val="22"/>
              </w:rPr>
              <w:t>Yes</w:t>
            </w:r>
          </w:p>
        </w:tc>
      </w:tr>
      <w:tr w:rsidR="006B6AD6" w14:paraId="55A81318" w14:textId="77777777" w:rsidTr="004D566A">
        <w:tc>
          <w:tcPr>
            <w:tcW w:w="2767" w:type="dxa"/>
            <w:tcBorders>
              <w:top w:val="single" w:sz="4" w:space="0" w:color="FFFFFF"/>
              <w:bottom w:val="single" w:sz="4" w:space="0" w:color="FFFFFF"/>
            </w:tcBorders>
          </w:tcPr>
          <w:p w14:paraId="196285B7" w14:textId="79B929D0" w:rsidR="006B6AD6" w:rsidRPr="006B6AD6" w:rsidRDefault="006B6AD6" w:rsidP="006B6AD6">
            <w:pPr>
              <w:jc w:val="both"/>
              <w:rPr>
                <w:rFonts w:ascii="Arial" w:hAnsi="Arial" w:cs="Arial"/>
                <w:i/>
                <w:iCs/>
                <w:color w:val="000000" w:themeColor="text1"/>
                <w:shd w:val="clear" w:color="auto" w:fill="FFFFFF"/>
              </w:rPr>
            </w:pPr>
            <w:r w:rsidRPr="006B6AD6">
              <w:rPr>
                <w:rFonts w:ascii="Arial" w:hAnsi="Arial" w:cs="Arial"/>
                <w:b/>
                <w:bCs/>
                <w:i/>
                <w:iCs/>
                <w:color w:val="000000" w:themeColor="text1"/>
                <w:shd w:val="clear" w:color="auto" w:fill="FFFFFF"/>
              </w:rPr>
              <w:t>Archaeological sites</w:t>
            </w:r>
            <w:r w:rsidRPr="006B6AD6">
              <w:rPr>
                <w:rFonts w:ascii="Arial" w:hAnsi="Arial" w:cs="Arial"/>
                <w:i/>
                <w:iCs/>
                <w:color w:val="000000" w:themeColor="text1"/>
                <w:shd w:val="clear" w:color="auto" w:fill="FFFFFF"/>
              </w:rPr>
              <w:t> </w:t>
            </w:r>
            <w:r>
              <w:rPr>
                <w:rFonts w:ascii="Arial" w:hAnsi="Arial" w:cs="Arial"/>
                <w:i/>
                <w:iCs/>
                <w:color w:val="000000" w:themeColor="text1"/>
                <w:shd w:val="clear" w:color="auto" w:fill="FFFFFF"/>
              </w:rPr>
              <w:t xml:space="preserve">– </w:t>
            </w:r>
            <w:r w:rsidRPr="006B6AD6">
              <w:rPr>
                <w:rFonts w:ascii="Arial" w:hAnsi="Arial" w:cs="Arial"/>
                <w:i/>
                <w:iCs/>
                <w:color w:val="000000" w:themeColor="text1"/>
                <w:shd w:val="clear" w:color="auto" w:fill="FFFFFF"/>
              </w:rPr>
              <w:t xml:space="preserve">The consent authority must, before granting consent under this clause to the carrying out of development on an archaeological site (other than land listed on the State Heritage Register or to </w:t>
            </w:r>
            <w:r w:rsidRPr="006B6AD6">
              <w:rPr>
                <w:rFonts w:ascii="Arial" w:hAnsi="Arial" w:cs="Arial"/>
                <w:i/>
                <w:iCs/>
                <w:color w:val="000000" w:themeColor="text1"/>
                <w:shd w:val="clear" w:color="auto" w:fill="FFFFFF"/>
              </w:rPr>
              <w:lastRenderedPageBreak/>
              <w:t>which an interim heritage order under the </w:t>
            </w:r>
            <w:hyperlink r:id="rId8" w:history="1">
              <w:r w:rsidRPr="006B6AD6">
                <w:rPr>
                  <w:rFonts w:ascii="Arial" w:hAnsi="Arial" w:cs="Arial"/>
                  <w:i/>
                  <w:iCs/>
                  <w:color w:val="000000" w:themeColor="text1"/>
                  <w:shd w:val="clear" w:color="auto" w:fill="FFFFFF"/>
                </w:rPr>
                <w:t>Heritage Act 1977</w:t>
              </w:r>
            </w:hyperlink>
            <w:r w:rsidRPr="006B6AD6">
              <w:rPr>
                <w:rFonts w:ascii="Arial" w:hAnsi="Arial" w:cs="Arial"/>
                <w:i/>
                <w:iCs/>
                <w:color w:val="000000" w:themeColor="text1"/>
                <w:shd w:val="clear" w:color="auto" w:fill="FFFFFF"/>
              </w:rPr>
              <w:t> applies)—</w:t>
            </w:r>
          </w:p>
          <w:p w14:paraId="73B0900C" w14:textId="77777777" w:rsidR="006B6AD6" w:rsidRPr="006B6AD6" w:rsidRDefault="006B6AD6" w:rsidP="006B6AD6">
            <w:pPr>
              <w:jc w:val="both"/>
              <w:rPr>
                <w:rFonts w:ascii="Arial" w:hAnsi="Arial" w:cs="Arial"/>
                <w:i/>
                <w:iCs/>
                <w:color w:val="000000" w:themeColor="text1"/>
              </w:rPr>
            </w:pPr>
            <w:r w:rsidRPr="006B6AD6">
              <w:rPr>
                <w:rFonts w:ascii="Arial" w:hAnsi="Arial" w:cs="Arial"/>
                <w:i/>
                <w:iCs/>
                <w:color w:val="000000" w:themeColor="text1"/>
              </w:rPr>
              <w:t>(a)  notify the Heritage Council of its intention to grant consent, and</w:t>
            </w:r>
          </w:p>
          <w:p w14:paraId="57932301" w14:textId="77777777" w:rsidR="006B6AD6" w:rsidRPr="006B6AD6" w:rsidRDefault="006B6AD6" w:rsidP="006B6AD6">
            <w:pPr>
              <w:jc w:val="both"/>
              <w:rPr>
                <w:rFonts w:ascii="Arial" w:hAnsi="Arial" w:cs="Arial"/>
                <w:i/>
                <w:iCs/>
                <w:color w:val="000000" w:themeColor="text1"/>
              </w:rPr>
            </w:pPr>
            <w:r w:rsidRPr="006B6AD6">
              <w:rPr>
                <w:rFonts w:ascii="Arial" w:hAnsi="Arial" w:cs="Arial"/>
                <w:i/>
                <w:iCs/>
                <w:color w:val="000000" w:themeColor="text1"/>
              </w:rPr>
              <w:t>(b)  take into consideration any response received from the Heritage Council within 28 days after the notice is sent.</w:t>
            </w:r>
          </w:p>
          <w:p w14:paraId="24D4B3CB" w14:textId="77777777" w:rsidR="006B6AD6" w:rsidRPr="00BA4BF4" w:rsidRDefault="006B6AD6" w:rsidP="00AA5BA4">
            <w:pPr>
              <w:jc w:val="both"/>
              <w:rPr>
                <w:rStyle w:val="frag-heading"/>
                <w:rFonts w:ascii="Arial" w:hAnsi="Arial" w:cs="Arial"/>
                <w:b/>
                <w:bCs/>
                <w:i/>
                <w:iCs/>
                <w:color w:val="000000"/>
                <w:shd w:val="clear" w:color="auto" w:fill="FFFFFF"/>
              </w:rPr>
            </w:pPr>
          </w:p>
        </w:tc>
        <w:tc>
          <w:tcPr>
            <w:tcW w:w="4032" w:type="dxa"/>
            <w:tcBorders>
              <w:top w:val="single" w:sz="4" w:space="0" w:color="FFFFFF"/>
              <w:bottom w:val="single" w:sz="4" w:space="0" w:color="FFFFFF"/>
            </w:tcBorders>
          </w:tcPr>
          <w:p w14:paraId="7FA2E15D" w14:textId="7F162B42" w:rsidR="004D566A" w:rsidRDefault="006B6AD6" w:rsidP="004D566A">
            <w:pPr>
              <w:spacing w:before="60" w:after="60"/>
              <w:jc w:val="both"/>
              <w:rPr>
                <w:rFonts w:ascii="Arial" w:hAnsi="Arial" w:cs="Arial"/>
              </w:rPr>
            </w:pPr>
            <w:r>
              <w:rPr>
                <w:rFonts w:ascii="Arial" w:hAnsi="Arial" w:cs="Arial"/>
              </w:rPr>
              <w:lastRenderedPageBreak/>
              <w:t>The assessment undertaken with the preparation of the CMP note</w:t>
            </w:r>
            <w:r w:rsidR="00161C4F">
              <w:rPr>
                <w:rFonts w:ascii="Arial" w:hAnsi="Arial" w:cs="Arial"/>
              </w:rPr>
              <w:t>s</w:t>
            </w:r>
            <w:r>
              <w:rPr>
                <w:rFonts w:ascii="Arial" w:hAnsi="Arial" w:cs="Arial"/>
              </w:rPr>
              <w:t xml:space="preserve"> that the site does not contain any Aboriginal objects or site</w:t>
            </w:r>
            <w:r w:rsidR="003F093C">
              <w:rPr>
                <w:rFonts w:ascii="Arial" w:hAnsi="Arial" w:cs="Arial"/>
              </w:rPr>
              <w:t>s</w:t>
            </w:r>
            <w:r>
              <w:rPr>
                <w:rFonts w:ascii="Arial" w:hAnsi="Arial" w:cs="Arial"/>
              </w:rPr>
              <w:t xml:space="preserve"> and no new areas of historical archaeological potential were identified as a result of the survey. Notwithstanding, previous identified areas of sensitivity were </w:t>
            </w:r>
            <w:r>
              <w:rPr>
                <w:rFonts w:ascii="Arial" w:hAnsi="Arial" w:cs="Arial"/>
              </w:rPr>
              <w:lastRenderedPageBreak/>
              <w:t xml:space="preserve">confirmed with regards to the archaeological potential. </w:t>
            </w:r>
          </w:p>
          <w:p w14:paraId="09A8F898" w14:textId="77777777" w:rsidR="007C7D31" w:rsidRDefault="007C7D31" w:rsidP="004D566A">
            <w:pPr>
              <w:spacing w:before="60" w:after="60"/>
              <w:jc w:val="both"/>
              <w:rPr>
                <w:rFonts w:ascii="Arial" w:hAnsi="Arial" w:cs="Arial"/>
              </w:rPr>
            </w:pPr>
          </w:p>
          <w:p w14:paraId="262D3908" w14:textId="3A1D9A21" w:rsidR="004D566A" w:rsidRDefault="004D566A" w:rsidP="004D566A">
            <w:pPr>
              <w:spacing w:before="60" w:after="60"/>
              <w:jc w:val="both"/>
              <w:rPr>
                <w:rFonts w:ascii="Arial" w:hAnsi="Arial" w:cs="Arial"/>
              </w:rPr>
            </w:pPr>
            <w:r>
              <w:rPr>
                <w:rFonts w:ascii="Arial" w:hAnsi="Arial" w:cs="Arial"/>
              </w:rPr>
              <w:t xml:space="preserve">As noted above, the DA was referred to Heritage NSW, where GTAs have been issued. One of the </w:t>
            </w:r>
            <w:r w:rsidR="009554A9">
              <w:rPr>
                <w:rFonts w:ascii="Arial" w:hAnsi="Arial" w:cs="Arial"/>
              </w:rPr>
              <w:t xml:space="preserve">GTAs </w:t>
            </w:r>
            <w:r>
              <w:rPr>
                <w:rFonts w:ascii="Arial" w:hAnsi="Arial" w:cs="Arial"/>
              </w:rPr>
              <w:t xml:space="preserve">requires the preparation of an Archaeological Assessment that clearly identifies whether relics of local and/or state significance may be harmed and/or whether appropriate mitigation measures or alteration to the design should occur based on the significance of the relics that may be present. This report must be submitted with the Section 60 Application. </w:t>
            </w:r>
          </w:p>
          <w:p w14:paraId="0F023E94" w14:textId="7DC29594" w:rsidR="004D566A" w:rsidRPr="00BE6678" w:rsidRDefault="004D566A" w:rsidP="004D566A">
            <w:pPr>
              <w:spacing w:before="60" w:after="60"/>
              <w:jc w:val="both"/>
              <w:rPr>
                <w:rFonts w:ascii="Arial" w:hAnsi="Arial" w:cs="Arial"/>
              </w:rPr>
            </w:pPr>
          </w:p>
        </w:tc>
        <w:tc>
          <w:tcPr>
            <w:tcW w:w="1503" w:type="dxa"/>
            <w:tcBorders>
              <w:top w:val="single" w:sz="4" w:space="0" w:color="FFFFFF"/>
              <w:bottom w:val="single" w:sz="4" w:space="0" w:color="FFFFFF"/>
            </w:tcBorders>
          </w:tcPr>
          <w:p w14:paraId="64276059" w14:textId="0EEE1681" w:rsidR="006B6AD6" w:rsidRDefault="004D566A" w:rsidP="00BA4BF4">
            <w:pPr>
              <w:spacing w:before="60" w:after="60"/>
              <w:jc w:val="center"/>
              <w:rPr>
                <w:rFonts w:ascii="Arial" w:hAnsi="Arial" w:cs="Arial"/>
              </w:rPr>
            </w:pPr>
            <w:r>
              <w:rPr>
                <w:rFonts w:ascii="Arial" w:hAnsi="Arial" w:cs="Arial"/>
              </w:rPr>
              <w:lastRenderedPageBreak/>
              <w:t xml:space="preserve">Yes </w:t>
            </w:r>
          </w:p>
        </w:tc>
      </w:tr>
      <w:tr w:rsidR="00DA7F22" w14:paraId="5AB601C3" w14:textId="77777777" w:rsidTr="004D566A">
        <w:tc>
          <w:tcPr>
            <w:tcW w:w="2767" w:type="dxa"/>
            <w:tcBorders>
              <w:top w:val="single" w:sz="4" w:space="0" w:color="FFFFFF"/>
              <w:bottom w:val="single" w:sz="4" w:space="0" w:color="FFFFFF"/>
            </w:tcBorders>
          </w:tcPr>
          <w:p w14:paraId="032C28F2" w14:textId="738C7CA3" w:rsidR="00DA7F22" w:rsidRDefault="00DA7F22" w:rsidP="00AA5BA4">
            <w:pPr>
              <w:jc w:val="both"/>
              <w:rPr>
                <w:rFonts w:ascii="Arial" w:hAnsi="Arial" w:cs="Arial"/>
                <w:i/>
                <w:iCs/>
                <w:szCs w:val="22"/>
                <w:shd w:val="clear" w:color="auto" w:fill="FFFFFF"/>
              </w:rPr>
            </w:pPr>
            <w:r w:rsidRPr="004D566A">
              <w:rPr>
                <w:rStyle w:val="frag-heading"/>
                <w:rFonts w:ascii="Arial" w:hAnsi="Arial" w:cs="Arial"/>
                <w:b/>
                <w:bCs/>
                <w:i/>
                <w:iCs/>
                <w:color w:val="000000"/>
                <w:szCs w:val="22"/>
                <w:shd w:val="clear" w:color="auto" w:fill="FFFFFF"/>
              </w:rPr>
              <w:t>Conservation incentives</w:t>
            </w:r>
            <w:r w:rsidRPr="00924655">
              <w:rPr>
                <w:rFonts w:ascii="Arial" w:hAnsi="Arial" w:cs="Arial"/>
                <w:i/>
                <w:iCs/>
                <w:szCs w:val="22"/>
                <w:shd w:val="clear" w:color="auto" w:fill="FFFFFF"/>
              </w:rPr>
              <w:t> </w:t>
            </w:r>
            <w:r w:rsidR="004D566A">
              <w:rPr>
                <w:rFonts w:ascii="Arial" w:hAnsi="Arial" w:cs="Arial"/>
                <w:i/>
                <w:iCs/>
                <w:szCs w:val="22"/>
                <w:shd w:val="clear" w:color="auto" w:fill="FFFFFF"/>
              </w:rPr>
              <w:t xml:space="preserve">– </w:t>
            </w:r>
            <w:r w:rsidRPr="00924655">
              <w:rPr>
                <w:rFonts w:ascii="Arial" w:hAnsi="Arial" w:cs="Arial"/>
                <w:i/>
                <w:iCs/>
                <w:szCs w:val="22"/>
                <w:shd w:val="clear" w:color="auto" w:fill="FFFFFF"/>
              </w:rPr>
              <w:t>The consent authority may grant consent to development for any purpose of a building that is a heritage item or of the land on which such a building is erected, or for any purpose on an Aboriginal place of heritage significance, even though development for that purpose would otherwise not be allowed by this Plan, if the consent authority is satisfied that:</w:t>
            </w:r>
          </w:p>
          <w:p w14:paraId="502B8097" w14:textId="77777777" w:rsidR="00DA7F22" w:rsidRPr="00924655" w:rsidRDefault="00DA7F22" w:rsidP="00AA5BA4">
            <w:pPr>
              <w:jc w:val="both"/>
              <w:rPr>
                <w:rStyle w:val="frag-heading"/>
                <w:rFonts w:ascii="Arial" w:hAnsi="Arial" w:cs="Arial"/>
                <w:b/>
                <w:bCs/>
                <w:i/>
                <w:iCs/>
                <w:color w:val="000000"/>
                <w:szCs w:val="22"/>
                <w:shd w:val="clear" w:color="auto" w:fill="FFFFFF"/>
              </w:rPr>
            </w:pPr>
            <w:r w:rsidRPr="00924655">
              <w:rPr>
                <w:rFonts w:ascii="Arial" w:hAnsi="Arial" w:cs="Arial"/>
                <w:i/>
                <w:iCs/>
                <w:szCs w:val="22"/>
                <w:shd w:val="clear" w:color="auto" w:fill="FFFFFF"/>
              </w:rPr>
              <w:t xml:space="preserve"> </w:t>
            </w:r>
          </w:p>
        </w:tc>
        <w:tc>
          <w:tcPr>
            <w:tcW w:w="4032" w:type="dxa"/>
            <w:tcBorders>
              <w:top w:val="single" w:sz="4" w:space="0" w:color="FFFFFF"/>
              <w:bottom w:val="single" w:sz="4" w:space="0" w:color="FFFFFF"/>
            </w:tcBorders>
          </w:tcPr>
          <w:p w14:paraId="4A305418" w14:textId="2973AFBF" w:rsidR="00DA7F22" w:rsidRDefault="004D566A" w:rsidP="00AA5BA4">
            <w:pPr>
              <w:spacing w:before="60" w:after="60"/>
              <w:jc w:val="both"/>
              <w:rPr>
                <w:rFonts w:ascii="Arial" w:hAnsi="Arial" w:cs="Arial"/>
                <w:szCs w:val="22"/>
              </w:rPr>
            </w:pPr>
            <w:r>
              <w:rPr>
                <w:rFonts w:ascii="Arial" w:hAnsi="Arial" w:cs="Arial"/>
                <w:szCs w:val="22"/>
              </w:rPr>
              <w:t xml:space="preserve">As noted in this assessment report, the development relies on the subject clause for the proposal </w:t>
            </w:r>
            <w:r w:rsidR="001A112C">
              <w:rPr>
                <w:rFonts w:ascii="Arial" w:hAnsi="Arial" w:cs="Arial"/>
                <w:szCs w:val="22"/>
              </w:rPr>
              <w:t xml:space="preserve">(for the purpose of a </w:t>
            </w:r>
            <w:r w:rsidR="003F093C">
              <w:rPr>
                <w:rFonts w:ascii="Arial" w:hAnsi="Arial" w:cs="Arial"/>
                <w:szCs w:val="22"/>
              </w:rPr>
              <w:t>‘</w:t>
            </w:r>
            <w:r w:rsidR="001A112C">
              <w:rPr>
                <w:rFonts w:ascii="Arial" w:hAnsi="Arial" w:cs="Arial"/>
                <w:szCs w:val="22"/>
              </w:rPr>
              <w:t>residential flat building</w:t>
            </w:r>
            <w:r w:rsidR="003F093C">
              <w:rPr>
                <w:rFonts w:ascii="Arial" w:hAnsi="Arial" w:cs="Arial"/>
                <w:szCs w:val="22"/>
              </w:rPr>
              <w:t>’</w:t>
            </w:r>
            <w:r w:rsidR="001A112C">
              <w:rPr>
                <w:rFonts w:ascii="Arial" w:hAnsi="Arial" w:cs="Arial"/>
                <w:szCs w:val="22"/>
              </w:rPr>
              <w:t xml:space="preserve"> and </w:t>
            </w:r>
            <w:r w:rsidR="003F093C">
              <w:rPr>
                <w:rFonts w:ascii="Arial" w:hAnsi="Arial" w:cs="Arial"/>
                <w:szCs w:val="22"/>
              </w:rPr>
              <w:t>‘</w:t>
            </w:r>
            <w:r w:rsidR="001A112C">
              <w:rPr>
                <w:rFonts w:ascii="Arial" w:hAnsi="Arial" w:cs="Arial"/>
                <w:szCs w:val="22"/>
              </w:rPr>
              <w:t>hotel and motel accommodation</w:t>
            </w:r>
            <w:r w:rsidR="003F093C">
              <w:rPr>
                <w:rFonts w:ascii="Arial" w:hAnsi="Arial" w:cs="Arial"/>
                <w:szCs w:val="22"/>
              </w:rPr>
              <w:t>’</w:t>
            </w:r>
            <w:r w:rsidR="001A112C">
              <w:rPr>
                <w:rFonts w:ascii="Arial" w:hAnsi="Arial" w:cs="Arial"/>
                <w:szCs w:val="22"/>
              </w:rPr>
              <w:t xml:space="preserve">) </w:t>
            </w:r>
            <w:r>
              <w:rPr>
                <w:rFonts w:ascii="Arial" w:hAnsi="Arial" w:cs="Arial"/>
                <w:szCs w:val="22"/>
              </w:rPr>
              <w:t xml:space="preserve">to be </w:t>
            </w:r>
            <w:r w:rsidR="003F093C">
              <w:rPr>
                <w:rFonts w:ascii="Arial" w:hAnsi="Arial" w:cs="Arial"/>
                <w:szCs w:val="22"/>
              </w:rPr>
              <w:t>approved</w:t>
            </w:r>
            <w:r>
              <w:rPr>
                <w:rFonts w:ascii="Arial" w:hAnsi="Arial" w:cs="Arial"/>
                <w:szCs w:val="22"/>
              </w:rPr>
              <w:t xml:space="preserve">. </w:t>
            </w:r>
          </w:p>
          <w:p w14:paraId="1DA079FA" w14:textId="77777777" w:rsidR="004D566A" w:rsidRDefault="004D566A" w:rsidP="00AA5BA4">
            <w:pPr>
              <w:spacing w:before="60" w:after="60"/>
              <w:jc w:val="both"/>
              <w:rPr>
                <w:rFonts w:ascii="Arial" w:hAnsi="Arial" w:cs="Arial"/>
                <w:szCs w:val="22"/>
              </w:rPr>
            </w:pPr>
          </w:p>
          <w:p w14:paraId="3B16FDAD" w14:textId="0B0644CF" w:rsidR="00DA7F22" w:rsidRPr="003962A6" w:rsidRDefault="00DA7F22" w:rsidP="00AA5BA4">
            <w:pPr>
              <w:spacing w:before="60" w:after="60"/>
              <w:jc w:val="both"/>
              <w:rPr>
                <w:rFonts w:ascii="Arial" w:hAnsi="Arial" w:cs="Arial"/>
                <w:b/>
                <w:bCs/>
                <w:szCs w:val="22"/>
              </w:rPr>
            </w:pPr>
          </w:p>
        </w:tc>
        <w:tc>
          <w:tcPr>
            <w:tcW w:w="1503" w:type="dxa"/>
            <w:tcBorders>
              <w:top w:val="single" w:sz="4" w:space="0" w:color="FFFFFF"/>
              <w:bottom w:val="single" w:sz="4" w:space="0" w:color="FFFFFF"/>
            </w:tcBorders>
          </w:tcPr>
          <w:p w14:paraId="7C0EB155" w14:textId="2D44111B" w:rsidR="00DA7F22" w:rsidRDefault="004D566A" w:rsidP="004D566A">
            <w:pPr>
              <w:spacing w:before="60" w:after="60"/>
              <w:jc w:val="center"/>
              <w:rPr>
                <w:rFonts w:ascii="Arial" w:hAnsi="Arial" w:cs="Arial"/>
                <w:szCs w:val="22"/>
              </w:rPr>
            </w:pPr>
            <w:r>
              <w:rPr>
                <w:rFonts w:ascii="Arial" w:hAnsi="Arial" w:cs="Arial"/>
                <w:szCs w:val="22"/>
              </w:rPr>
              <w:t>Applicable</w:t>
            </w:r>
          </w:p>
        </w:tc>
      </w:tr>
      <w:tr w:rsidR="00DA7F22" w14:paraId="5239B3D5" w14:textId="77777777" w:rsidTr="004D566A">
        <w:tc>
          <w:tcPr>
            <w:tcW w:w="2767" w:type="dxa"/>
            <w:tcBorders>
              <w:top w:val="single" w:sz="4" w:space="0" w:color="FFFFFF"/>
              <w:bottom w:val="single" w:sz="4" w:space="0" w:color="FFFFFF"/>
            </w:tcBorders>
          </w:tcPr>
          <w:p w14:paraId="136E87A9" w14:textId="77777777" w:rsidR="00DA7F22" w:rsidRDefault="00DA7F22" w:rsidP="00AA5BA4">
            <w:pPr>
              <w:jc w:val="both"/>
              <w:rPr>
                <w:rFonts w:ascii="Arial" w:hAnsi="Arial" w:cs="Arial"/>
                <w:i/>
                <w:iCs/>
                <w:szCs w:val="22"/>
                <w:shd w:val="clear" w:color="auto" w:fill="FFFFFF"/>
              </w:rPr>
            </w:pPr>
            <w:r>
              <w:rPr>
                <w:rFonts w:ascii="Arial" w:hAnsi="Arial" w:cs="Arial"/>
                <w:i/>
                <w:iCs/>
                <w:szCs w:val="22"/>
                <w:shd w:val="clear" w:color="auto" w:fill="FFFFFF"/>
              </w:rPr>
              <w:t>T</w:t>
            </w:r>
            <w:r w:rsidRPr="00924655">
              <w:rPr>
                <w:rFonts w:ascii="Arial" w:hAnsi="Arial" w:cs="Arial"/>
                <w:i/>
                <w:iCs/>
                <w:szCs w:val="22"/>
                <w:shd w:val="clear" w:color="auto" w:fill="FFFFFF"/>
              </w:rPr>
              <w:t>he conservation of the heritage item or Aboriginal place of heritage significance is facilitated by the granting of consent.</w:t>
            </w:r>
          </w:p>
          <w:p w14:paraId="12570E80" w14:textId="77777777" w:rsidR="00DA7F22" w:rsidRPr="00924655" w:rsidRDefault="00DA7F22" w:rsidP="00AA5BA4">
            <w:pPr>
              <w:jc w:val="both"/>
              <w:rPr>
                <w:rStyle w:val="frag-heading"/>
                <w:rFonts w:ascii="Arial" w:hAnsi="Arial" w:cs="Arial"/>
                <w:b/>
                <w:bCs/>
                <w:i/>
                <w:iCs/>
                <w:color w:val="000000"/>
                <w:szCs w:val="22"/>
                <w:shd w:val="clear" w:color="auto" w:fill="FFFFFF"/>
              </w:rPr>
            </w:pPr>
          </w:p>
        </w:tc>
        <w:tc>
          <w:tcPr>
            <w:tcW w:w="4032" w:type="dxa"/>
            <w:tcBorders>
              <w:top w:val="single" w:sz="4" w:space="0" w:color="FFFFFF"/>
              <w:bottom w:val="single" w:sz="4" w:space="0" w:color="FFFFFF"/>
            </w:tcBorders>
          </w:tcPr>
          <w:p w14:paraId="380DCE4E" w14:textId="77777777" w:rsidR="003F093C" w:rsidRDefault="001A112C" w:rsidP="009554A9">
            <w:pPr>
              <w:spacing w:before="60" w:after="60"/>
              <w:jc w:val="both"/>
              <w:rPr>
                <w:rFonts w:ascii="Arial" w:hAnsi="Arial" w:cs="Arial"/>
                <w:szCs w:val="22"/>
              </w:rPr>
            </w:pPr>
            <w:r>
              <w:rPr>
                <w:rFonts w:ascii="Arial" w:hAnsi="Arial" w:cs="Arial"/>
                <w:szCs w:val="22"/>
              </w:rPr>
              <w:t xml:space="preserve">The DA was accompanied with a detailed schedule of conservation works and feasibility reports, to demonstrate that </w:t>
            </w:r>
            <w:r w:rsidR="009554A9">
              <w:rPr>
                <w:rFonts w:ascii="Arial" w:hAnsi="Arial" w:cs="Arial"/>
                <w:szCs w:val="22"/>
              </w:rPr>
              <w:t>the proposed development will facilitate the conservation of the item</w:t>
            </w:r>
            <w:r>
              <w:rPr>
                <w:rFonts w:ascii="Arial" w:hAnsi="Arial" w:cs="Arial"/>
                <w:szCs w:val="22"/>
              </w:rPr>
              <w:t xml:space="preserve">. </w:t>
            </w:r>
          </w:p>
          <w:p w14:paraId="30D40F81" w14:textId="3FF03087" w:rsidR="009554A9" w:rsidRPr="001A112C" w:rsidRDefault="009554A9" w:rsidP="009554A9">
            <w:pPr>
              <w:spacing w:before="60" w:after="60"/>
              <w:jc w:val="both"/>
              <w:rPr>
                <w:rFonts w:ascii="Arial" w:hAnsi="Arial" w:cs="Arial"/>
                <w:b/>
                <w:bCs/>
                <w:highlight w:val="green"/>
              </w:rPr>
            </w:pPr>
          </w:p>
        </w:tc>
        <w:tc>
          <w:tcPr>
            <w:tcW w:w="1503" w:type="dxa"/>
            <w:tcBorders>
              <w:top w:val="single" w:sz="4" w:space="0" w:color="FFFFFF"/>
              <w:bottom w:val="single" w:sz="4" w:space="0" w:color="FFFFFF"/>
            </w:tcBorders>
          </w:tcPr>
          <w:p w14:paraId="52639AE2" w14:textId="697E5CFE" w:rsidR="00DA7F22" w:rsidRDefault="001A112C" w:rsidP="001A112C">
            <w:pPr>
              <w:spacing w:before="60" w:after="60"/>
              <w:jc w:val="center"/>
              <w:rPr>
                <w:rFonts w:ascii="Arial" w:hAnsi="Arial" w:cs="Arial"/>
                <w:szCs w:val="22"/>
              </w:rPr>
            </w:pPr>
            <w:r>
              <w:rPr>
                <w:rFonts w:ascii="Arial" w:hAnsi="Arial" w:cs="Arial"/>
                <w:szCs w:val="22"/>
              </w:rPr>
              <w:t>Yes</w:t>
            </w:r>
          </w:p>
        </w:tc>
      </w:tr>
      <w:tr w:rsidR="00DA7F22" w14:paraId="5D13C4C4" w14:textId="77777777" w:rsidTr="00354054">
        <w:tc>
          <w:tcPr>
            <w:tcW w:w="2767" w:type="dxa"/>
            <w:tcBorders>
              <w:top w:val="single" w:sz="4" w:space="0" w:color="FFFFFF"/>
              <w:bottom w:val="single" w:sz="4" w:space="0" w:color="FFFFFF"/>
            </w:tcBorders>
          </w:tcPr>
          <w:p w14:paraId="0AB4C328" w14:textId="77777777" w:rsidR="00DA7F22" w:rsidRDefault="00DA7F22" w:rsidP="00AA5BA4">
            <w:pPr>
              <w:jc w:val="both"/>
              <w:rPr>
                <w:rFonts w:ascii="Arial" w:hAnsi="Arial" w:cs="Arial"/>
                <w:i/>
                <w:iCs/>
                <w:szCs w:val="22"/>
                <w:shd w:val="clear" w:color="auto" w:fill="FFFFFF"/>
              </w:rPr>
            </w:pPr>
            <w:r>
              <w:rPr>
                <w:rFonts w:ascii="Arial" w:hAnsi="Arial" w:cs="Arial"/>
                <w:i/>
                <w:iCs/>
                <w:szCs w:val="22"/>
                <w:shd w:val="clear" w:color="auto" w:fill="FFFFFF"/>
              </w:rPr>
              <w:t>T</w:t>
            </w:r>
            <w:r w:rsidRPr="00924655">
              <w:rPr>
                <w:rFonts w:ascii="Arial" w:hAnsi="Arial" w:cs="Arial"/>
                <w:i/>
                <w:iCs/>
                <w:szCs w:val="22"/>
                <w:shd w:val="clear" w:color="auto" w:fill="FFFFFF"/>
              </w:rPr>
              <w:t xml:space="preserve">he proposed development is in accordance with a heritage management document that has been approved by the consent authority. </w:t>
            </w:r>
          </w:p>
          <w:p w14:paraId="53AF81AA" w14:textId="77777777" w:rsidR="00DA7F22" w:rsidRPr="00924655" w:rsidRDefault="00DA7F22" w:rsidP="00AA5BA4">
            <w:pPr>
              <w:jc w:val="both"/>
              <w:rPr>
                <w:rFonts w:ascii="Arial" w:hAnsi="Arial" w:cs="Arial"/>
                <w:i/>
                <w:iCs/>
                <w:szCs w:val="22"/>
                <w:shd w:val="clear" w:color="auto" w:fill="FFFFFF"/>
              </w:rPr>
            </w:pPr>
          </w:p>
        </w:tc>
        <w:tc>
          <w:tcPr>
            <w:tcW w:w="4032" w:type="dxa"/>
            <w:tcBorders>
              <w:top w:val="single" w:sz="4" w:space="0" w:color="FFFFFF"/>
              <w:bottom w:val="single" w:sz="4" w:space="0" w:color="FFFFFF"/>
            </w:tcBorders>
          </w:tcPr>
          <w:p w14:paraId="4CB333D7" w14:textId="1E742A5D" w:rsidR="001A112C" w:rsidRDefault="001A112C" w:rsidP="00AA5BA4">
            <w:pPr>
              <w:spacing w:before="60" w:after="60"/>
              <w:jc w:val="both"/>
              <w:rPr>
                <w:rFonts w:ascii="Arial" w:hAnsi="Arial" w:cs="Arial"/>
                <w:szCs w:val="22"/>
              </w:rPr>
            </w:pPr>
            <w:r>
              <w:rPr>
                <w:rFonts w:ascii="Arial" w:hAnsi="Arial" w:cs="Arial"/>
                <w:szCs w:val="22"/>
              </w:rPr>
              <w:t xml:space="preserve">As noted above, the development has been carried out generally in accordance with the draft CMP prepared for the subject site. </w:t>
            </w:r>
            <w:r w:rsidR="009554A9">
              <w:rPr>
                <w:rFonts w:ascii="Arial" w:hAnsi="Arial" w:cs="Arial"/>
                <w:szCs w:val="22"/>
              </w:rPr>
              <w:t>T</w:t>
            </w:r>
            <w:r>
              <w:rPr>
                <w:rFonts w:ascii="Arial" w:hAnsi="Arial" w:cs="Arial"/>
                <w:szCs w:val="22"/>
              </w:rPr>
              <w:t xml:space="preserve">he draft CMP has </w:t>
            </w:r>
            <w:r w:rsidR="009554A9">
              <w:rPr>
                <w:rFonts w:ascii="Arial" w:hAnsi="Arial" w:cs="Arial"/>
                <w:szCs w:val="22"/>
              </w:rPr>
              <w:t xml:space="preserve">not </w:t>
            </w:r>
            <w:r>
              <w:rPr>
                <w:rFonts w:ascii="Arial" w:hAnsi="Arial" w:cs="Arial"/>
                <w:szCs w:val="22"/>
              </w:rPr>
              <w:t xml:space="preserve">yet </w:t>
            </w:r>
            <w:r w:rsidR="009554A9">
              <w:rPr>
                <w:rFonts w:ascii="Arial" w:hAnsi="Arial" w:cs="Arial"/>
                <w:szCs w:val="22"/>
              </w:rPr>
              <w:t>been</w:t>
            </w:r>
            <w:r>
              <w:rPr>
                <w:rFonts w:ascii="Arial" w:hAnsi="Arial" w:cs="Arial"/>
                <w:szCs w:val="22"/>
              </w:rPr>
              <w:t xml:space="preserve"> approved by a consent authority. </w:t>
            </w:r>
            <w:r w:rsidR="009554A9">
              <w:rPr>
                <w:rFonts w:ascii="Arial" w:hAnsi="Arial" w:cs="Arial"/>
                <w:szCs w:val="22"/>
              </w:rPr>
              <w:t>Accordingly</w:t>
            </w:r>
            <w:r w:rsidR="00CF0DA1">
              <w:rPr>
                <w:rFonts w:ascii="Arial" w:hAnsi="Arial" w:cs="Arial"/>
                <w:szCs w:val="22"/>
              </w:rPr>
              <w:t>,</w:t>
            </w:r>
            <w:r w:rsidR="009554A9">
              <w:rPr>
                <w:rFonts w:ascii="Arial" w:hAnsi="Arial" w:cs="Arial"/>
                <w:szCs w:val="22"/>
              </w:rPr>
              <w:t xml:space="preserve"> it is recommended that the </w:t>
            </w:r>
            <w:r>
              <w:rPr>
                <w:rFonts w:ascii="Arial" w:hAnsi="Arial" w:cs="Arial"/>
                <w:szCs w:val="22"/>
              </w:rPr>
              <w:t xml:space="preserve">Sydney Western City Planning Panel </w:t>
            </w:r>
            <w:r w:rsidR="009554A9">
              <w:rPr>
                <w:rFonts w:ascii="Arial" w:hAnsi="Arial" w:cs="Arial"/>
                <w:szCs w:val="22"/>
              </w:rPr>
              <w:t>approve the CMP and DA as part of the recommendation.</w:t>
            </w:r>
          </w:p>
          <w:p w14:paraId="0F0E3013" w14:textId="48586DD6" w:rsidR="00354054" w:rsidRDefault="00354054" w:rsidP="00AA5BA4">
            <w:pPr>
              <w:spacing w:before="60" w:after="60"/>
              <w:jc w:val="both"/>
              <w:rPr>
                <w:rFonts w:ascii="Arial" w:hAnsi="Arial" w:cs="Arial"/>
                <w:szCs w:val="22"/>
              </w:rPr>
            </w:pPr>
          </w:p>
        </w:tc>
        <w:tc>
          <w:tcPr>
            <w:tcW w:w="1503" w:type="dxa"/>
            <w:tcBorders>
              <w:top w:val="single" w:sz="4" w:space="0" w:color="FFFFFF"/>
              <w:bottom w:val="single" w:sz="4" w:space="0" w:color="FFFFFF"/>
            </w:tcBorders>
          </w:tcPr>
          <w:p w14:paraId="2E571029" w14:textId="3D422C87" w:rsidR="00DA7F22" w:rsidRDefault="00354054" w:rsidP="00354054">
            <w:pPr>
              <w:spacing w:before="60" w:after="60"/>
              <w:jc w:val="center"/>
              <w:rPr>
                <w:rFonts w:ascii="Arial" w:hAnsi="Arial" w:cs="Arial"/>
                <w:szCs w:val="22"/>
              </w:rPr>
            </w:pPr>
            <w:r>
              <w:rPr>
                <w:rFonts w:ascii="Arial" w:hAnsi="Arial" w:cs="Arial"/>
                <w:szCs w:val="22"/>
              </w:rPr>
              <w:t>Yes</w:t>
            </w:r>
          </w:p>
        </w:tc>
      </w:tr>
      <w:tr w:rsidR="00DA7F22" w14:paraId="372BA67F" w14:textId="77777777" w:rsidTr="001A112C">
        <w:tc>
          <w:tcPr>
            <w:tcW w:w="2767" w:type="dxa"/>
            <w:tcBorders>
              <w:top w:val="single" w:sz="4" w:space="0" w:color="FFFFFF"/>
              <w:bottom w:val="single" w:sz="4" w:space="0" w:color="FFFFFF"/>
            </w:tcBorders>
          </w:tcPr>
          <w:p w14:paraId="5A70852B" w14:textId="77777777" w:rsidR="00DA7F22" w:rsidRDefault="00DA7F22" w:rsidP="00AA5BA4">
            <w:pPr>
              <w:jc w:val="both"/>
              <w:rPr>
                <w:rFonts w:ascii="Arial" w:hAnsi="Arial" w:cs="Arial"/>
                <w:i/>
                <w:iCs/>
                <w:szCs w:val="22"/>
                <w:shd w:val="clear" w:color="auto" w:fill="FFFFFF"/>
              </w:rPr>
            </w:pPr>
            <w:r>
              <w:rPr>
                <w:rFonts w:ascii="Arial" w:hAnsi="Arial" w:cs="Arial"/>
                <w:i/>
                <w:iCs/>
                <w:szCs w:val="22"/>
                <w:shd w:val="clear" w:color="auto" w:fill="FFFFFF"/>
              </w:rPr>
              <w:t>T</w:t>
            </w:r>
            <w:r w:rsidRPr="00924655">
              <w:rPr>
                <w:rFonts w:ascii="Arial" w:hAnsi="Arial" w:cs="Arial"/>
                <w:i/>
                <w:iCs/>
                <w:szCs w:val="22"/>
                <w:shd w:val="clear" w:color="auto" w:fill="FFFFFF"/>
              </w:rPr>
              <w:t>he consent to the proposed development would require that all necessary conservation work identified in the heritage management document is carried out.</w:t>
            </w:r>
          </w:p>
          <w:p w14:paraId="29B1A707" w14:textId="77777777" w:rsidR="00DA7F22" w:rsidRPr="00924655" w:rsidRDefault="00DA7F22" w:rsidP="00AA5BA4">
            <w:pPr>
              <w:jc w:val="both"/>
              <w:rPr>
                <w:rFonts w:ascii="Arial" w:hAnsi="Arial" w:cs="Arial"/>
                <w:i/>
                <w:iCs/>
                <w:szCs w:val="22"/>
                <w:shd w:val="clear" w:color="auto" w:fill="FFFFFF"/>
              </w:rPr>
            </w:pPr>
          </w:p>
        </w:tc>
        <w:tc>
          <w:tcPr>
            <w:tcW w:w="4032" w:type="dxa"/>
            <w:tcBorders>
              <w:top w:val="single" w:sz="4" w:space="0" w:color="FFFFFF"/>
              <w:bottom w:val="single" w:sz="4" w:space="0" w:color="FFFFFF"/>
            </w:tcBorders>
          </w:tcPr>
          <w:p w14:paraId="1F617A4E" w14:textId="3E59C700" w:rsidR="00DA7F22" w:rsidRDefault="00354054" w:rsidP="00AA5BA4">
            <w:pPr>
              <w:spacing w:before="60" w:after="60"/>
              <w:jc w:val="both"/>
              <w:rPr>
                <w:rFonts w:ascii="Arial" w:hAnsi="Arial" w:cs="Arial"/>
                <w:szCs w:val="22"/>
              </w:rPr>
            </w:pPr>
            <w:r>
              <w:rPr>
                <w:rFonts w:ascii="Arial" w:hAnsi="Arial" w:cs="Arial"/>
                <w:szCs w:val="22"/>
              </w:rPr>
              <w:t xml:space="preserve">Stage 1 of the DA proposes all conservation works </w:t>
            </w:r>
            <w:r w:rsidR="009554A9">
              <w:rPr>
                <w:rFonts w:ascii="Arial" w:hAnsi="Arial" w:cs="Arial"/>
                <w:szCs w:val="22"/>
              </w:rPr>
              <w:t>(</w:t>
            </w:r>
            <w:r>
              <w:rPr>
                <w:rFonts w:ascii="Arial" w:hAnsi="Arial" w:cs="Arial"/>
                <w:szCs w:val="22"/>
              </w:rPr>
              <w:t>identified in the draft CMP</w:t>
            </w:r>
            <w:r w:rsidR="009554A9">
              <w:rPr>
                <w:rFonts w:ascii="Arial" w:hAnsi="Arial" w:cs="Arial"/>
                <w:szCs w:val="22"/>
              </w:rPr>
              <w:t>)</w:t>
            </w:r>
            <w:r>
              <w:rPr>
                <w:rFonts w:ascii="Arial" w:hAnsi="Arial" w:cs="Arial"/>
                <w:szCs w:val="22"/>
              </w:rPr>
              <w:t xml:space="preserve"> to be carried out prior to the commencement of Stage 2 works. Conditions are recommended to ensure ongoing compliance. </w:t>
            </w:r>
          </w:p>
        </w:tc>
        <w:tc>
          <w:tcPr>
            <w:tcW w:w="1503" w:type="dxa"/>
            <w:tcBorders>
              <w:top w:val="single" w:sz="4" w:space="0" w:color="FFFFFF"/>
              <w:bottom w:val="single" w:sz="4" w:space="0" w:color="FFFFFF"/>
            </w:tcBorders>
          </w:tcPr>
          <w:p w14:paraId="799DD61A" w14:textId="762742AD" w:rsidR="00DA7F22" w:rsidRDefault="00354054" w:rsidP="00354054">
            <w:pPr>
              <w:spacing w:before="60" w:after="60"/>
              <w:jc w:val="center"/>
              <w:rPr>
                <w:rFonts w:ascii="Arial" w:hAnsi="Arial" w:cs="Arial"/>
                <w:szCs w:val="22"/>
              </w:rPr>
            </w:pPr>
            <w:r>
              <w:rPr>
                <w:rFonts w:ascii="Arial" w:hAnsi="Arial" w:cs="Arial"/>
                <w:szCs w:val="22"/>
              </w:rPr>
              <w:t>Yes – Subject to recommended conditions of consent.</w:t>
            </w:r>
          </w:p>
        </w:tc>
      </w:tr>
      <w:tr w:rsidR="00DA7F22" w14:paraId="23932380" w14:textId="77777777" w:rsidTr="001A112C">
        <w:tc>
          <w:tcPr>
            <w:tcW w:w="2767" w:type="dxa"/>
            <w:tcBorders>
              <w:top w:val="single" w:sz="4" w:space="0" w:color="FFFFFF"/>
              <w:bottom w:val="single" w:sz="4" w:space="0" w:color="FFFFFF"/>
            </w:tcBorders>
          </w:tcPr>
          <w:p w14:paraId="209F2424" w14:textId="77777777" w:rsidR="00DA7F22" w:rsidRDefault="00DA7F22" w:rsidP="00AA5BA4">
            <w:pPr>
              <w:jc w:val="both"/>
              <w:rPr>
                <w:rFonts w:ascii="Arial" w:hAnsi="Arial" w:cs="Arial"/>
                <w:i/>
                <w:iCs/>
                <w:szCs w:val="22"/>
                <w:shd w:val="clear" w:color="auto" w:fill="FFFFFF"/>
              </w:rPr>
            </w:pPr>
            <w:r>
              <w:rPr>
                <w:rFonts w:ascii="Arial" w:hAnsi="Arial" w:cs="Arial"/>
                <w:i/>
                <w:iCs/>
                <w:szCs w:val="22"/>
                <w:shd w:val="clear" w:color="auto" w:fill="FFFFFF"/>
              </w:rPr>
              <w:t>T</w:t>
            </w:r>
            <w:r w:rsidRPr="00924655">
              <w:rPr>
                <w:rFonts w:ascii="Arial" w:hAnsi="Arial" w:cs="Arial"/>
                <w:i/>
                <w:iCs/>
                <w:szCs w:val="22"/>
                <w:shd w:val="clear" w:color="auto" w:fill="FFFFFF"/>
              </w:rPr>
              <w:t xml:space="preserve">he proposed development would not adversely affect the heritage significance of </w:t>
            </w:r>
            <w:r w:rsidRPr="00924655">
              <w:rPr>
                <w:rFonts w:ascii="Arial" w:hAnsi="Arial" w:cs="Arial"/>
                <w:i/>
                <w:iCs/>
                <w:szCs w:val="22"/>
                <w:shd w:val="clear" w:color="auto" w:fill="FFFFFF"/>
              </w:rPr>
              <w:lastRenderedPageBreak/>
              <w:t>the heritage item, including its setting, or the heritage significance of the Aboriginal place of heritage significance.</w:t>
            </w:r>
          </w:p>
          <w:p w14:paraId="143A2FEE" w14:textId="77777777" w:rsidR="00DA7F22" w:rsidRPr="00924655" w:rsidRDefault="00DA7F22" w:rsidP="00AA5BA4">
            <w:pPr>
              <w:jc w:val="both"/>
              <w:rPr>
                <w:rFonts w:ascii="Arial" w:hAnsi="Arial" w:cs="Arial"/>
                <w:i/>
                <w:iCs/>
                <w:szCs w:val="22"/>
                <w:shd w:val="clear" w:color="auto" w:fill="FFFFFF"/>
              </w:rPr>
            </w:pPr>
          </w:p>
        </w:tc>
        <w:tc>
          <w:tcPr>
            <w:tcW w:w="4032" w:type="dxa"/>
            <w:tcBorders>
              <w:top w:val="single" w:sz="4" w:space="0" w:color="FFFFFF"/>
              <w:bottom w:val="single" w:sz="4" w:space="0" w:color="FFFFFF"/>
            </w:tcBorders>
          </w:tcPr>
          <w:p w14:paraId="174D6F71" w14:textId="15341196" w:rsidR="00354054" w:rsidRDefault="00354054" w:rsidP="00AA5BA4">
            <w:pPr>
              <w:spacing w:before="60" w:after="60"/>
              <w:jc w:val="both"/>
              <w:rPr>
                <w:rFonts w:ascii="Arial" w:hAnsi="Arial" w:cs="Arial"/>
                <w:szCs w:val="22"/>
              </w:rPr>
            </w:pPr>
            <w:r>
              <w:rPr>
                <w:rFonts w:ascii="Arial" w:hAnsi="Arial" w:cs="Arial"/>
                <w:szCs w:val="22"/>
              </w:rPr>
              <w:lastRenderedPageBreak/>
              <w:t>As detailed in this assessment report, Council staff and Heritage NSW are satisfied that</w:t>
            </w:r>
            <w:r w:rsidR="009554A9">
              <w:rPr>
                <w:rFonts w:ascii="Arial" w:hAnsi="Arial" w:cs="Arial"/>
                <w:szCs w:val="22"/>
              </w:rPr>
              <w:t>,</w:t>
            </w:r>
            <w:r>
              <w:rPr>
                <w:rFonts w:ascii="Arial" w:hAnsi="Arial" w:cs="Arial"/>
                <w:szCs w:val="22"/>
              </w:rPr>
              <w:t xml:space="preserve"> subject to the imposition of </w:t>
            </w:r>
            <w:r>
              <w:rPr>
                <w:rFonts w:ascii="Arial" w:hAnsi="Arial" w:cs="Arial"/>
                <w:szCs w:val="22"/>
              </w:rPr>
              <w:lastRenderedPageBreak/>
              <w:t xml:space="preserve">recommended conditions of consent, the development (as proposed) will have minimal adverse impacts on the heritage significance of the heritage item and the wider setting. </w:t>
            </w:r>
          </w:p>
        </w:tc>
        <w:tc>
          <w:tcPr>
            <w:tcW w:w="1503" w:type="dxa"/>
            <w:tcBorders>
              <w:top w:val="single" w:sz="4" w:space="0" w:color="FFFFFF"/>
              <w:bottom w:val="single" w:sz="4" w:space="0" w:color="FFFFFF"/>
            </w:tcBorders>
          </w:tcPr>
          <w:p w14:paraId="10B8FB73" w14:textId="50D2E6A3" w:rsidR="00DA7F22" w:rsidRDefault="00354054" w:rsidP="00354054">
            <w:pPr>
              <w:spacing w:before="60" w:after="60"/>
              <w:jc w:val="center"/>
              <w:rPr>
                <w:rFonts w:ascii="Arial" w:hAnsi="Arial" w:cs="Arial"/>
                <w:szCs w:val="22"/>
              </w:rPr>
            </w:pPr>
            <w:r>
              <w:rPr>
                <w:rFonts w:ascii="Arial" w:hAnsi="Arial" w:cs="Arial"/>
                <w:szCs w:val="22"/>
              </w:rPr>
              <w:lastRenderedPageBreak/>
              <w:t>Yes</w:t>
            </w:r>
          </w:p>
        </w:tc>
      </w:tr>
      <w:tr w:rsidR="00DA7F22" w14:paraId="2D370C98" w14:textId="77777777" w:rsidTr="001A112C">
        <w:tc>
          <w:tcPr>
            <w:tcW w:w="2767" w:type="dxa"/>
            <w:tcBorders>
              <w:top w:val="single" w:sz="4" w:space="0" w:color="FFFFFF"/>
            </w:tcBorders>
          </w:tcPr>
          <w:p w14:paraId="5EC5AC3B" w14:textId="77777777" w:rsidR="00DA7F22" w:rsidRPr="00924655" w:rsidRDefault="00DA7F22" w:rsidP="00AA5BA4">
            <w:pPr>
              <w:jc w:val="both"/>
              <w:rPr>
                <w:rFonts w:ascii="Arial" w:hAnsi="Arial" w:cs="Arial"/>
                <w:i/>
                <w:iCs/>
                <w:szCs w:val="22"/>
                <w:shd w:val="clear" w:color="auto" w:fill="FFFFFF"/>
              </w:rPr>
            </w:pPr>
            <w:r w:rsidRPr="00924655">
              <w:rPr>
                <w:rFonts w:ascii="Arial" w:hAnsi="Arial" w:cs="Arial"/>
                <w:i/>
                <w:iCs/>
                <w:szCs w:val="22"/>
                <w:shd w:val="clear" w:color="auto" w:fill="FFFFFF"/>
              </w:rPr>
              <w:t>The proposed development would not have any significant adverse effect on the amenity of the surrounding area.</w:t>
            </w:r>
          </w:p>
        </w:tc>
        <w:tc>
          <w:tcPr>
            <w:tcW w:w="4032" w:type="dxa"/>
            <w:tcBorders>
              <w:top w:val="single" w:sz="4" w:space="0" w:color="FFFFFF"/>
            </w:tcBorders>
          </w:tcPr>
          <w:p w14:paraId="606D3F41" w14:textId="6E8B6CE0" w:rsidR="00DA7F22" w:rsidRDefault="00354054" w:rsidP="00AA5BA4">
            <w:pPr>
              <w:spacing w:before="60" w:after="60"/>
              <w:jc w:val="both"/>
              <w:rPr>
                <w:rFonts w:ascii="Arial" w:hAnsi="Arial" w:cs="Arial"/>
                <w:szCs w:val="22"/>
              </w:rPr>
            </w:pPr>
            <w:r>
              <w:rPr>
                <w:rFonts w:ascii="Arial" w:hAnsi="Arial" w:cs="Arial"/>
                <w:szCs w:val="22"/>
              </w:rPr>
              <w:t xml:space="preserve">As shown in the photomontages submitted with the DA, proposed landscaping within and around the development site will screen the bulk of the development from surrounding public areas. Subject to the imposition of recommended conditions </w:t>
            </w:r>
            <w:r w:rsidR="00600552">
              <w:rPr>
                <w:rFonts w:ascii="Arial" w:hAnsi="Arial" w:cs="Arial"/>
                <w:szCs w:val="22"/>
              </w:rPr>
              <w:t>(</w:t>
            </w:r>
            <w:r>
              <w:rPr>
                <w:rFonts w:ascii="Arial" w:hAnsi="Arial" w:cs="Arial"/>
                <w:szCs w:val="22"/>
              </w:rPr>
              <w:t>relating to the schedule of colours and finishes</w:t>
            </w:r>
            <w:r w:rsidR="00600552">
              <w:rPr>
                <w:rFonts w:ascii="Arial" w:hAnsi="Arial" w:cs="Arial"/>
                <w:szCs w:val="22"/>
              </w:rPr>
              <w:t>)</w:t>
            </w:r>
            <w:r>
              <w:rPr>
                <w:rFonts w:ascii="Arial" w:hAnsi="Arial" w:cs="Arial"/>
                <w:szCs w:val="22"/>
              </w:rPr>
              <w:t xml:space="preserve"> Council staff are satisfied that the development will not affect the amenity of the heritage item via surrounding land uses (being the golf club / course) and the public domain. </w:t>
            </w:r>
          </w:p>
        </w:tc>
        <w:tc>
          <w:tcPr>
            <w:tcW w:w="1503" w:type="dxa"/>
            <w:tcBorders>
              <w:top w:val="single" w:sz="4" w:space="0" w:color="FFFFFF"/>
            </w:tcBorders>
          </w:tcPr>
          <w:p w14:paraId="5A208910" w14:textId="47679B25" w:rsidR="00DA7F22" w:rsidRDefault="00354054" w:rsidP="00354054">
            <w:pPr>
              <w:spacing w:before="60" w:after="60"/>
              <w:jc w:val="center"/>
              <w:rPr>
                <w:rFonts w:ascii="Arial" w:hAnsi="Arial" w:cs="Arial"/>
                <w:szCs w:val="22"/>
              </w:rPr>
            </w:pPr>
            <w:r>
              <w:rPr>
                <w:rFonts w:ascii="Arial" w:hAnsi="Arial" w:cs="Arial"/>
                <w:szCs w:val="22"/>
              </w:rPr>
              <w:t>Yes</w:t>
            </w:r>
          </w:p>
        </w:tc>
      </w:tr>
      <w:tr w:rsidR="00DA7F22" w14:paraId="3717C006" w14:textId="77777777" w:rsidTr="00AA5BA4">
        <w:tc>
          <w:tcPr>
            <w:tcW w:w="2767" w:type="dxa"/>
          </w:tcPr>
          <w:p w14:paraId="33EAFEA2" w14:textId="77777777" w:rsidR="00DA7F22" w:rsidRPr="001866C9" w:rsidRDefault="00DA7F22" w:rsidP="00AA5BA4">
            <w:pPr>
              <w:jc w:val="both"/>
              <w:rPr>
                <w:rFonts w:ascii="Arial" w:hAnsi="Arial" w:cs="Arial"/>
                <w:b/>
                <w:bCs/>
                <w:szCs w:val="22"/>
                <w:shd w:val="clear" w:color="auto" w:fill="FFFFFF"/>
              </w:rPr>
            </w:pPr>
            <w:r w:rsidRPr="001866C9">
              <w:rPr>
                <w:rFonts w:ascii="Arial" w:hAnsi="Arial" w:cs="Arial"/>
                <w:b/>
                <w:bCs/>
                <w:szCs w:val="22"/>
                <w:shd w:val="clear" w:color="auto" w:fill="FFFFFF"/>
              </w:rPr>
              <w:t xml:space="preserve">5.11 Bush Fire Hazard Reduction </w:t>
            </w:r>
          </w:p>
          <w:p w14:paraId="59375767" w14:textId="77777777" w:rsidR="00DA7F22" w:rsidRPr="001866C9" w:rsidRDefault="00DA7F22" w:rsidP="00AA5BA4">
            <w:pPr>
              <w:jc w:val="both"/>
              <w:rPr>
                <w:rFonts w:ascii="Arial" w:hAnsi="Arial" w:cs="Arial"/>
                <w:i/>
                <w:iCs/>
                <w:szCs w:val="22"/>
                <w:shd w:val="clear" w:color="auto" w:fill="FFFFFF"/>
              </w:rPr>
            </w:pPr>
            <w:r w:rsidRPr="001866C9">
              <w:rPr>
                <w:rFonts w:ascii="Arial" w:hAnsi="Arial" w:cs="Arial"/>
                <w:i/>
                <w:iCs/>
                <w:szCs w:val="22"/>
                <w:shd w:val="clear" w:color="auto" w:fill="FFFFFF"/>
              </w:rPr>
              <w:t>The </w:t>
            </w:r>
            <w:hyperlink r:id="rId9" w:history="1">
              <w:r w:rsidRPr="001866C9">
                <w:rPr>
                  <w:rStyle w:val="frag-name"/>
                  <w:rFonts w:ascii="Arial" w:hAnsi="Arial" w:cs="Arial"/>
                  <w:i/>
                  <w:iCs/>
                  <w:szCs w:val="22"/>
                  <w:shd w:val="clear" w:color="auto" w:fill="FFFFFF"/>
                </w:rPr>
                <w:t>Rural Fires Act 1997</w:t>
              </w:r>
            </w:hyperlink>
            <w:r w:rsidRPr="001866C9">
              <w:rPr>
                <w:rFonts w:ascii="Arial" w:hAnsi="Arial" w:cs="Arial"/>
                <w:i/>
                <w:iCs/>
                <w:szCs w:val="22"/>
                <w:shd w:val="clear" w:color="auto" w:fill="FFFFFF"/>
              </w:rPr>
              <w:t> also makes provision relating to the carrying out of development on bush fire prone land.</w:t>
            </w:r>
          </w:p>
        </w:tc>
        <w:tc>
          <w:tcPr>
            <w:tcW w:w="4032" w:type="dxa"/>
          </w:tcPr>
          <w:p w14:paraId="3B21005B" w14:textId="77777777" w:rsidR="00DA7F22" w:rsidRDefault="00DA7F22" w:rsidP="00AA5BA4">
            <w:pPr>
              <w:jc w:val="both"/>
              <w:rPr>
                <w:rFonts w:ascii="Arial" w:hAnsi="Arial" w:cs="Arial"/>
              </w:rPr>
            </w:pPr>
          </w:p>
          <w:p w14:paraId="7C177926" w14:textId="77777777" w:rsidR="00DA7F22" w:rsidRDefault="00DA7F22" w:rsidP="00AA5BA4">
            <w:pPr>
              <w:jc w:val="both"/>
              <w:rPr>
                <w:rFonts w:ascii="Arial" w:hAnsi="Arial" w:cs="Arial"/>
              </w:rPr>
            </w:pPr>
          </w:p>
          <w:p w14:paraId="3F54BCED" w14:textId="66C077AB" w:rsidR="00DA7F22" w:rsidRPr="00367BB1" w:rsidRDefault="00DA7F22" w:rsidP="00AA5BA4">
            <w:pPr>
              <w:jc w:val="both"/>
              <w:rPr>
                <w:rFonts w:ascii="Arial" w:hAnsi="Arial" w:cs="Arial"/>
                <w:b/>
                <w:bCs/>
                <w:u w:val="single"/>
              </w:rPr>
            </w:pPr>
            <w:r w:rsidRPr="001866C9">
              <w:rPr>
                <w:rFonts w:ascii="Arial" w:hAnsi="Arial" w:cs="Arial"/>
              </w:rPr>
              <w:t>The</w:t>
            </w:r>
            <w:r w:rsidR="00600552">
              <w:rPr>
                <w:rFonts w:ascii="Arial" w:hAnsi="Arial" w:cs="Arial"/>
              </w:rPr>
              <w:t xml:space="preserve"> DA</w:t>
            </w:r>
            <w:r w:rsidRPr="001866C9">
              <w:rPr>
                <w:rFonts w:ascii="Arial" w:hAnsi="Arial" w:cs="Arial"/>
              </w:rPr>
              <w:t xml:space="preserve"> seeks the subdivision of land that is bushfire prone. As such, the application was referred to </w:t>
            </w:r>
            <w:r w:rsidR="00367BB1">
              <w:rPr>
                <w:rFonts w:ascii="Arial" w:hAnsi="Arial" w:cs="Arial"/>
              </w:rPr>
              <w:t xml:space="preserve">NSW </w:t>
            </w:r>
            <w:r w:rsidRPr="001866C9">
              <w:rPr>
                <w:rFonts w:ascii="Arial" w:hAnsi="Arial" w:cs="Arial"/>
              </w:rPr>
              <w:t>Rural Fire Service</w:t>
            </w:r>
            <w:r w:rsidR="00CF541F">
              <w:rPr>
                <w:rFonts w:ascii="Arial" w:hAnsi="Arial" w:cs="Arial"/>
              </w:rPr>
              <w:t xml:space="preserve">, where GTAs were issued. Standard conditions are recommended to ensure ongoing compliance with the GTAs. </w:t>
            </w:r>
          </w:p>
        </w:tc>
        <w:tc>
          <w:tcPr>
            <w:tcW w:w="1503" w:type="dxa"/>
          </w:tcPr>
          <w:p w14:paraId="6C9314E9" w14:textId="77777777" w:rsidR="00DA7F22" w:rsidRDefault="00DA7F22" w:rsidP="00AA5BA4">
            <w:pPr>
              <w:spacing w:before="60" w:after="60"/>
              <w:jc w:val="both"/>
              <w:rPr>
                <w:rFonts w:ascii="Arial" w:hAnsi="Arial" w:cs="Arial"/>
                <w:szCs w:val="22"/>
              </w:rPr>
            </w:pPr>
          </w:p>
          <w:p w14:paraId="560F34ED" w14:textId="77777777" w:rsidR="00CF541F" w:rsidRPr="00CF541F" w:rsidRDefault="00CF541F" w:rsidP="00CF541F">
            <w:pPr>
              <w:jc w:val="center"/>
              <w:rPr>
                <w:rFonts w:ascii="Arial" w:hAnsi="Arial" w:cs="Arial"/>
              </w:rPr>
            </w:pPr>
          </w:p>
          <w:p w14:paraId="30E0B1F5" w14:textId="3ED3CF66" w:rsidR="00CF541F" w:rsidRDefault="00CF541F" w:rsidP="00CF541F">
            <w:pPr>
              <w:jc w:val="center"/>
            </w:pPr>
            <w:r w:rsidRPr="00CF541F">
              <w:rPr>
                <w:rFonts w:ascii="Arial" w:hAnsi="Arial" w:cs="Arial"/>
              </w:rPr>
              <w:t>Yes</w:t>
            </w:r>
          </w:p>
        </w:tc>
      </w:tr>
      <w:tr w:rsidR="00DA7F22" w14:paraId="53B3B7F5" w14:textId="77777777" w:rsidTr="00AA5BA4">
        <w:tc>
          <w:tcPr>
            <w:tcW w:w="2767" w:type="dxa"/>
          </w:tcPr>
          <w:p w14:paraId="44DA5FFB" w14:textId="77777777" w:rsidR="00DA7F22" w:rsidRDefault="00DA7F22" w:rsidP="00AA5BA4">
            <w:pPr>
              <w:jc w:val="both"/>
              <w:rPr>
                <w:rFonts w:ascii="Arial" w:hAnsi="Arial" w:cs="Arial"/>
                <w:b/>
                <w:bCs/>
                <w:szCs w:val="22"/>
                <w:shd w:val="clear" w:color="auto" w:fill="FFFFFF"/>
              </w:rPr>
            </w:pPr>
            <w:r>
              <w:rPr>
                <w:rFonts w:ascii="Arial" w:hAnsi="Arial" w:cs="Arial"/>
                <w:b/>
                <w:bCs/>
                <w:szCs w:val="22"/>
                <w:shd w:val="clear" w:color="auto" w:fill="FFFFFF"/>
              </w:rPr>
              <w:t xml:space="preserve">6.2 Public Utility Infrastructure </w:t>
            </w:r>
          </w:p>
          <w:p w14:paraId="20B0605B" w14:textId="0B65E451" w:rsidR="00DA7F22" w:rsidRPr="00D66496" w:rsidRDefault="00DA7F22" w:rsidP="00AA5BA4">
            <w:pPr>
              <w:jc w:val="both"/>
              <w:rPr>
                <w:rFonts w:ascii="Arial" w:hAnsi="Arial" w:cs="Arial"/>
                <w:i/>
                <w:iCs/>
                <w:shd w:val="clear" w:color="auto" w:fill="FFFFFF"/>
              </w:rPr>
            </w:pPr>
            <w:r w:rsidRPr="003D3903">
              <w:rPr>
                <w:rFonts w:ascii="Arial" w:hAnsi="Arial" w:cs="Arial"/>
                <w:i/>
                <w:iCs/>
                <w:shd w:val="clear" w:color="auto" w:fill="FFFFFF"/>
              </w:rPr>
              <w:t>Development consent must not be granted for development on land in an urban release area unless the Council is satisfied that any public utility infrastructure that is essential for the proposed development is available or that adequate arrangements have been made to make that infrastructure available when it is required.</w:t>
            </w:r>
          </w:p>
        </w:tc>
        <w:tc>
          <w:tcPr>
            <w:tcW w:w="4032" w:type="dxa"/>
          </w:tcPr>
          <w:p w14:paraId="296D509C" w14:textId="77777777" w:rsidR="00DA7F22" w:rsidRDefault="00DA7F22" w:rsidP="00AA5BA4">
            <w:pPr>
              <w:jc w:val="both"/>
              <w:rPr>
                <w:rFonts w:ascii="Arial" w:hAnsi="Arial" w:cs="Arial"/>
              </w:rPr>
            </w:pPr>
          </w:p>
          <w:p w14:paraId="61BA4A6F" w14:textId="77777777" w:rsidR="00DA7F22" w:rsidRDefault="00DA7F22" w:rsidP="00AA5BA4">
            <w:pPr>
              <w:jc w:val="both"/>
              <w:rPr>
                <w:rFonts w:ascii="Arial" w:hAnsi="Arial" w:cs="Arial"/>
              </w:rPr>
            </w:pPr>
          </w:p>
          <w:p w14:paraId="42C67564" w14:textId="77777777" w:rsidR="00DA7F22" w:rsidRDefault="00DA7F22" w:rsidP="00AA5BA4">
            <w:pPr>
              <w:jc w:val="both"/>
              <w:rPr>
                <w:rFonts w:ascii="Arial" w:hAnsi="Arial" w:cs="Arial"/>
              </w:rPr>
            </w:pPr>
            <w:r>
              <w:rPr>
                <w:rFonts w:ascii="Arial" w:hAnsi="Arial" w:cs="Arial"/>
              </w:rPr>
              <w:t xml:space="preserve">A condition can be included in the consent to ensure compliance with this clause. </w:t>
            </w:r>
          </w:p>
        </w:tc>
        <w:tc>
          <w:tcPr>
            <w:tcW w:w="1503" w:type="dxa"/>
          </w:tcPr>
          <w:p w14:paraId="046BE8E1" w14:textId="77777777" w:rsidR="00CF541F" w:rsidRPr="00CF541F" w:rsidRDefault="00CF541F" w:rsidP="00CF541F">
            <w:pPr>
              <w:jc w:val="center"/>
              <w:rPr>
                <w:rFonts w:ascii="Arial" w:hAnsi="Arial" w:cs="Arial"/>
              </w:rPr>
            </w:pPr>
          </w:p>
          <w:p w14:paraId="4BDF6511" w14:textId="77777777" w:rsidR="00CF541F" w:rsidRDefault="00CF541F" w:rsidP="00CF541F">
            <w:pPr>
              <w:jc w:val="center"/>
              <w:rPr>
                <w:rFonts w:ascii="Arial" w:hAnsi="Arial" w:cs="Arial"/>
              </w:rPr>
            </w:pPr>
          </w:p>
          <w:p w14:paraId="52925AD6" w14:textId="5E71B952" w:rsidR="00CF541F" w:rsidRDefault="00CF541F" w:rsidP="00CF541F">
            <w:pPr>
              <w:jc w:val="center"/>
            </w:pPr>
            <w:r w:rsidRPr="00CF541F">
              <w:rPr>
                <w:rFonts w:ascii="Arial" w:hAnsi="Arial" w:cs="Arial"/>
              </w:rPr>
              <w:t>Yes – Subject to the imposition of recommended conditions of consent.</w:t>
            </w:r>
          </w:p>
        </w:tc>
      </w:tr>
      <w:tr w:rsidR="00DA7F22" w14:paraId="025ADA91" w14:textId="77777777" w:rsidTr="00CF541F">
        <w:tc>
          <w:tcPr>
            <w:tcW w:w="2767" w:type="dxa"/>
            <w:tcBorders>
              <w:bottom w:val="single" w:sz="4" w:space="0" w:color="FFFFFF"/>
            </w:tcBorders>
          </w:tcPr>
          <w:p w14:paraId="30A50148" w14:textId="77777777" w:rsidR="00DA7F22" w:rsidRDefault="00DA7F22" w:rsidP="00AA5BA4">
            <w:pPr>
              <w:jc w:val="both"/>
              <w:rPr>
                <w:rFonts w:ascii="Arial" w:hAnsi="Arial" w:cs="Arial"/>
                <w:b/>
                <w:bCs/>
                <w:szCs w:val="22"/>
                <w:shd w:val="clear" w:color="auto" w:fill="FFFFFF"/>
              </w:rPr>
            </w:pPr>
            <w:r>
              <w:rPr>
                <w:rFonts w:ascii="Arial" w:hAnsi="Arial" w:cs="Arial"/>
                <w:b/>
                <w:bCs/>
                <w:szCs w:val="22"/>
                <w:shd w:val="clear" w:color="auto" w:fill="FFFFFF"/>
              </w:rPr>
              <w:t xml:space="preserve">7.4 Earthworks  </w:t>
            </w:r>
          </w:p>
          <w:p w14:paraId="452EE160" w14:textId="77777777" w:rsidR="00DA7F22" w:rsidRPr="00DF470A" w:rsidRDefault="00DA7F22" w:rsidP="00CF541F">
            <w:pPr>
              <w:jc w:val="both"/>
              <w:rPr>
                <w:rFonts w:ascii="Arial" w:hAnsi="Arial" w:cs="Arial"/>
                <w:b/>
                <w:bCs/>
                <w:i/>
                <w:iCs/>
                <w:szCs w:val="22"/>
                <w:shd w:val="clear" w:color="auto" w:fill="FFFFFF"/>
              </w:rPr>
            </w:pPr>
            <w:r w:rsidRPr="00DF470A">
              <w:rPr>
                <w:rFonts w:ascii="Arial" w:hAnsi="Arial" w:cs="Arial"/>
                <w:i/>
                <w:iCs/>
                <w:shd w:val="clear" w:color="auto" w:fill="FFFFFF"/>
              </w:rPr>
              <w:t xml:space="preserve">Development consent is required for earthworks. </w:t>
            </w:r>
          </w:p>
          <w:p w14:paraId="3288FEE3" w14:textId="77777777" w:rsidR="00DA7F22" w:rsidRPr="001866C9" w:rsidRDefault="00DA7F22" w:rsidP="00AA5BA4">
            <w:pPr>
              <w:jc w:val="both"/>
              <w:rPr>
                <w:rFonts w:ascii="Arial" w:hAnsi="Arial" w:cs="Arial"/>
                <w:b/>
                <w:bCs/>
                <w:szCs w:val="22"/>
                <w:shd w:val="clear" w:color="auto" w:fill="FFFFFF"/>
              </w:rPr>
            </w:pPr>
          </w:p>
        </w:tc>
        <w:tc>
          <w:tcPr>
            <w:tcW w:w="4032" w:type="dxa"/>
            <w:tcBorders>
              <w:bottom w:val="single" w:sz="4" w:space="0" w:color="FFFFFF"/>
            </w:tcBorders>
          </w:tcPr>
          <w:p w14:paraId="4CA70A3A" w14:textId="77777777" w:rsidR="00DA7F22" w:rsidRDefault="00DA7F22" w:rsidP="00AA5BA4">
            <w:pPr>
              <w:jc w:val="both"/>
              <w:rPr>
                <w:rFonts w:ascii="Arial" w:hAnsi="Arial" w:cs="Arial"/>
                <w:highlight w:val="green"/>
              </w:rPr>
            </w:pPr>
          </w:p>
          <w:p w14:paraId="4BA6E270" w14:textId="5C49BAA7" w:rsidR="008D774E" w:rsidRPr="00CF541F" w:rsidRDefault="008D774E" w:rsidP="00AA5BA4">
            <w:pPr>
              <w:jc w:val="both"/>
              <w:rPr>
                <w:rFonts w:ascii="Arial" w:hAnsi="Arial" w:cs="Arial"/>
                <w:highlight w:val="green"/>
              </w:rPr>
            </w:pPr>
            <w:r w:rsidRPr="004B77A3">
              <w:rPr>
                <w:rFonts w:ascii="Arial" w:hAnsi="Arial" w:cs="Arial"/>
                <w:szCs w:val="22"/>
              </w:rPr>
              <w:t xml:space="preserve">The DA was accompanied </w:t>
            </w:r>
            <w:r>
              <w:rPr>
                <w:rFonts w:ascii="Arial" w:hAnsi="Arial" w:cs="Arial"/>
                <w:szCs w:val="22"/>
              </w:rPr>
              <w:t>by</w:t>
            </w:r>
            <w:r w:rsidRPr="004B77A3">
              <w:rPr>
                <w:rFonts w:ascii="Arial" w:hAnsi="Arial" w:cs="Arial"/>
                <w:szCs w:val="22"/>
              </w:rPr>
              <w:t xml:space="preserve"> a cut and fill plan demonstrating the extent of earthworks </w:t>
            </w:r>
            <w:r>
              <w:rPr>
                <w:rFonts w:ascii="Arial" w:hAnsi="Arial" w:cs="Arial"/>
                <w:szCs w:val="22"/>
              </w:rPr>
              <w:t xml:space="preserve">required </w:t>
            </w:r>
            <w:r w:rsidRPr="004B77A3">
              <w:rPr>
                <w:rFonts w:ascii="Arial" w:hAnsi="Arial" w:cs="Arial"/>
                <w:szCs w:val="22"/>
              </w:rPr>
              <w:t>to accommodate the subject development.</w:t>
            </w:r>
            <w:r>
              <w:rPr>
                <w:rFonts w:ascii="Arial" w:hAnsi="Arial" w:cs="Arial"/>
                <w:szCs w:val="22"/>
              </w:rPr>
              <w:t xml:space="preserve">  </w:t>
            </w:r>
          </w:p>
          <w:p w14:paraId="3F404303" w14:textId="16F1E2EA" w:rsidR="00DA7F22" w:rsidRPr="00CF541F" w:rsidRDefault="00DA7F22" w:rsidP="00AA5BA4">
            <w:pPr>
              <w:jc w:val="both"/>
              <w:rPr>
                <w:rFonts w:ascii="Arial" w:hAnsi="Arial" w:cs="Arial"/>
                <w:highlight w:val="green"/>
              </w:rPr>
            </w:pPr>
          </w:p>
        </w:tc>
        <w:tc>
          <w:tcPr>
            <w:tcW w:w="1503" w:type="dxa"/>
            <w:tcBorders>
              <w:bottom w:val="single" w:sz="4" w:space="0" w:color="FFFFFF"/>
            </w:tcBorders>
          </w:tcPr>
          <w:p w14:paraId="592C8565" w14:textId="21FFB472" w:rsidR="00DA7F22" w:rsidRDefault="00CF0DA1" w:rsidP="00CF0DA1">
            <w:pPr>
              <w:spacing w:before="60" w:after="60"/>
              <w:jc w:val="center"/>
              <w:rPr>
                <w:rFonts w:ascii="Arial" w:hAnsi="Arial" w:cs="Arial"/>
                <w:b/>
                <w:bCs/>
                <w:szCs w:val="22"/>
                <w:highlight w:val="green"/>
              </w:rPr>
            </w:pPr>
            <w:r w:rsidRPr="00CF541F">
              <w:rPr>
                <w:rFonts w:ascii="Arial" w:hAnsi="Arial" w:cs="Arial"/>
              </w:rPr>
              <w:t>Yes</w:t>
            </w:r>
          </w:p>
          <w:p w14:paraId="20D18C4A" w14:textId="77777777" w:rsidR="00CF0DA1" w:rsidRPr="00CF541F" w:rsidRDefault="00CF0DA1" w:rsidP="00AA5BA4">
            <w:pPr>
              <w:spacing w:before="60" w:after="60"/>
              <w:jc w:val="both"/>
              <w:rPr>
                <w:rFonts w:ascii="Arial" w:hAnsi="Arial" w:cs="Arial"/>
                <w:b/>
                <w:bCs/>
                <w:szCs w:val="22"/>
                <w:highlight w:val="green"/>
              </w:rPr>
            </w:pPr>
          </w:p>
          <w:p w14:paraId="1F57B22B" w14:textId="11C23480" w:rsidR="00CF541F" w:rsidRPr="00CF541F" w:rsidRDefault="00CF541F" w:rsidP="00AA5BA4">
            <w:pPr>
              <w:spacing w:before="60" w:after="60"/>
              <w:jc w:val="both"/>
              <w:rPr>
                <w:rFonts w:ascii="Arial" w:hAnsi="Arial" w:cs="Arial"/>
                <w:b/>
                <w:bCs/>
                <w:szCs w:val="22"/>
                <w:highlight w:val="green"/>
              </w:rPr>
            </w:pPr>
            <w:r w:rsidRPr="00CF541F">
              <w:rPr>
                <w:rFonts w:ascii="Arial" w:hAnsi="Arial" w:cs="Arial"/>
                <w:b/>
                <w:bCs/>
                <w:szCs w:val="22"/>
                <w:highlight w:val="green"/>
              </w:rPr>
              <w:t xml:space="preserve"> </w:t>
            </w:r>
          </w:p>
        </w:tc>
      </w:tr>
      <w:tr w:rsidR="00DA7F22" w14:paraId="18DB3559" w14:textId="77777777" w:rsidTr="00CF541F">
        <w:tc>
          <w:tcPr>
            <w:tcW w:w="2767" w:type="dxa"/>
            <w:tcBorders>
              <w:top w:val="single" w:sz="4" w:space="0" w:color="FFFFFF"/>
            </w:tcBorders>
          </w:tcPr>
          <w:p w14:paraId="727F8FF7" w14:textId="77777777" w:rsidR="00DA7F22" w:rsidRPr="00DF470A" w:rsidRDefault="00DA7F22" w:rsidP="00AA5BA4">
            <w:pPr>
              <w:jc w:val="both"/>
              <w:rPr>
                <w:rFonts w:ascii="Arial" w:hAnsi="Arial" w:cs="Arial"/>
                <w:i/>
                <w:iCs/>
                <w:sz w:val="24"/>
                <w:szCs w:val="24"/>
              </w:rPr>
            </w:pPr>
            <w:r w:rsidRPr="00DF470A">
              <w:rPr>
                <w:rFonts w:ascii="Arial" w:hAnsi="Arial" w:cs="Arial"/>
                <w:i/>
                <w:iCs/>
                <w:shd w:val="clear" w:color="auto" w:fill="FFFFFF"/>
              </w:rPr>
              <w:t>Before granting development consent for earthworks, the consent authority must consider the following matters—</w:t>
            </w:r>
          </w:p>
          <w:p w14:paraId="22C2E5C7" w14:textId="77777777" w:rsidR="00DA7F22" w:rsidRDefault="00DA7F22" w:rsidP="00AA5BA4">
            <w:pPr>
              <w:jc w:val="both"/>
              <w:rPr>
                <w:rFonts w:ascii="Arial" w:hAnsi="Arial" w:cs="Arial"/>
                <w:i/>
                <w:iCs/>
              </w:rPr>
            </w:pPr>
            <w:r w:rsidRPr="00DF470A">
              <w:rPr>
                <w:rFonts w:ascii="Arial" w:hAnsi="Arial" w:cs="Arial"/>
                <w:i/>
                <w:iCs/>
              </w:rPr>
              <w:t>(a)  the likely disruption of, or any detrimental effect on, existing drainage patterns and soil stability in the locality,</w:t>
            </w:r>
          </w:p>
          <w:p w14:paraId="21DC4D1E" w14:textId="77777777" w:rsidR="00954CE8" w:rsidRPr="00DF470A" w:rsidRDefault="00954CE8" w:rsidP="00AA5BA4">
            <w:pPr>
              <w:jc w:val="both"/>
              <w:rPr>
                <w:rFonts w:ascii="Arial" w:hAnsi="Arial" w:cs="Arial"/>
                <w:i/>
                <w:iCs/>
              </w:rPr>
            </w:pPr>
          </w:p>
          <w:p w14:paraId="29F5D531" w14:textId="77777777" w:rsidR="00DA7F22" w:rsidRDefault="00DA7F22" w:rsidP="00AA5BA4">
            <w:pPr>
              <w:jc w:val="both"/>
              <w:rPr>
                <w:rFonts w:ascii="Arial" w:hAnsi="Arial" w:cs="Arial"/>
                <w:i/>
                <w:iCs/>
              </w:rPr>
            </w:pPr>
            <w:r w:rsidRPr="00DF470A">
              <w:rPr>
                <w:rFonts w:ascii="Arial" w:hAnsi="Arial" w:cs="Arial"/>
                <w:i/>
                <w:iCs/>
              </w:rPr>
              <w:lastRenderedPageBreak/>
              <w:t>(b)  the effect of the proposed development on the likely future use or redevelopment of the land,</w:t>
            </w:r>
          </w:p>
          <w:p w14:paraId="76F6F471" w14:textId="77777777" w:rsidR="00954CE8" w:rsidRDefault="00954CE8" w:rsidP="00AA5BA4">
            <w:pPr>
              <w:jc w:val="both"/>
              <w:rPr>
                <w:rFonts w:ascii="Arial" w:hAnsi="Arial" w:cs="Arial"/>
                <w:i/>
                <w:iCs/>
              </w:rPr>
            </w:pPr>
          </w:p>
          <w:p w14:paraId="2AF02827" w14:textId="77777777" w:rsidR="00954CE8" w:rsidRDefault="00954CE8" w:rsidP="00AA5BA4">
            <w:pPr>
              <w:jc w:val="both"/>
              <w:rPr>
                <w:rFonts w:ascii="Arial" w:hAnsi="Arial" w:cs="Arial"/>
                <w:i/>
                <w:iCs/>
              </w:rPr>
            </w:pPr>
          </w:p>
          <w:p w14:paraId="13C2ABBF" w14:textId="77777777" w:rsidR="00954CE8" w:rsidRDefault="00954CE8" w:rsidP="00AA5BA4">
            <w:pPr>
              <w:jc w:val="both"/>
              <w:rPr>
                <w:rFonts w:ascii="Arial" w:hAnsi="Arial" w:cs="Arial"/>
                <w:i/>
                <w:iCs/>
              </w:rPr>
            </w:pPr>
          </w:p>
          <w:p w14:paraId="6D2634F0" w14:textId="77777777" w:rsidR="00954CE8" w:rsidRDefault="00954CE8" w:rsidP="00AA5BA4">
            <w:pPr>
              <w:jc w:val="both"/>
              <w:rPr>
                <w:rFonts w:ascii="Arial" w:hAnsi="Arial" w:cs="Arial"/>
                <w:i/>
                <w:iCs/>
              </w:rPr>
            </w:pPr>
          </w:p>
          <w:p w14:paraId="7015898F" w14:textId="77777777" w:rsidR="00954CE8" w:rsidRDefault="00954CE8" w:rsidP="00AA5BA4">
            <w:pPr>
              <w:jc w:val="both"/>
              <w:rPr>
                <w:rFonts w:ascii="Arial" w:hAnsi="Arial" w:cs="Arial"/>
                <w:i/>
                <w:iCs/>
              </w:rPr>
            </w:pPr>
          </w:p>
          <w:p w14:paraId="31AE28A4" w14:textId="77777777" w:rsidR="00954CE8" w:rsidRPr="00DF470A" w:rsidRDefault="00954CE8" w:rsidP="00AA5BA4">
            <w:pPr>
              <w:jc w:val="both"/>
              <w:rPr>
                <w:rFonts w:ascii="Arial" w:hAnsi="Arial" w:cs="Arial"/>
                <w:i/>
                <w:iCs/>
              </w:rPr>
            </w:pPr>
          </w:p>
          <w:p w14:paraId="570080BB" w14:textId="77777777" w:rsidR="00DA7F22" w:rsidRPr="00DF470A" w:rsidRDefault="00DA7F22" w:rsidP="00AA5BA4">
            <w:pPr>
              <w:jc w:val="both"/>
              <w:rPr>
                <w:rFonts w:ascii="Arial" w:hAnsi="Arial" w:cs="Arial"/>
                <w:i/>
                <w:iCs/>
              </w:rPr>
            </w:pPr>
            <w:r w:rsidRPr="00DF470A">
              <w:rPr>
                <w:rFonts w:ascii="Arial" w:hAnsi="Arial" w:cs="Arial"/>
                <w:i/>
                <w:iCs/>
              </w:rPr>
              <w:t>(c)  the quality of the fill or the soil to be excavated, or both,</w:t>
            </w:r>
          </w:p>
          <w:p w14:paraId="3308369F" w14:textId="77777777" w:rsidR="00954CE8" w:rsidRDefault="00954CE8" w:rsidP="00AA5BA4">
            <w:pPr>
              <w:jc w:val="both"/>
              <w:rPr>
                <w:rFonts w:ascii="Arial" w:hAnsi="Arial" w:cs="Arial"/>
                <w:i/>
                <w:iCs/>
              </w:rPr>
            </w:pPr>
          </w:p>
          <w:p w14:paraId="554F9ACA" w14:textId="77777777" w:rsidR="00954CE8" w:rsidRDefault="00954CE8" w:rsidP="00AA5BA4">
            <w:pPr>
              <w:jc w:val="both"/>
              <w:rPr>
                <w:rFonts w:ascii="Arial" w:hAnsi="Arial" w:cs="Arial"/>
                <w:i/>
                <w:iCs/>
              </w:rPr>
            </w:pPr>
          </w:p>
          <w:p w14:paraId="1A917E53" w14:textId="77777777" w:rsidR="00954CE8" w:rsidRDefault="00954CE8" w:rsidP="00AA5BA4">
            <w:pPr>
              <w:jc w:val="both"/>
              <w:rPr>
                <w:rFonts w:ascii="Arial" w:hAnsi="Arial" w:cs="Arial"/>
                <w:i/>
                <w:iCs/>
              </w:rPr>
            </w:pPr>
          </w:p>
          <w:p w14:paraId="74818A09" w14:textId="77777777" w:rsidR="00581977" w:rsidRDefault="00581977" w:rsidP="00AA5BA4">
            <w:pPr>
              <w:jc w:val="both"/>
              <w:rPr>
                <w:rFonts w:ascii="Arial" w:hAnsi="Arial" w:cs="Arial"/>
                <w:i/>
                <w:iCs/>
              </w:rPr>
            </w:pPr>
          </w:p>
          <w:p w14:paraId="1ED8941C" w14:textId="77777777" w:rsidR="00581977" w:rsidRDefault="00581977" w:rsidP="00AA5BA4">
            <w:pPr>
              <w:jc w:val="both"/>
              <w:rPr>
                <w:rFonts w:ascii="Arial" w:hAnsi="Arial" w:cs="Arial"/>
                <w:i/>
                <w:iCs/>
              </w:rPr>
            </w:pPr>
          </w:p>
          <w:p w14:paraId="7CC4E965" w14:textId="77777777" w:rsidR="00581977" w:rsidRDefault="00581977" w:rsidP="00AA5BA4">
            <w:pPr>
              <w:jc w:val="both"/>
              <w:rPr>
                <w:rFonts w:ascii="Arial" w:hAnsi="Arial" w:cs="Arial"/>
                <w:i/>
                <w:iCs/>
              </w:rPr>
            </w:pPr>
          </w:p>
          <w:p w14:paraId="49576E29" w14:textId="69F20A7A" w:rsidR="00DA7F22" w:rsidRDefault="00DA7F22" w:rsidP="00AA5BA4">
            <w:pPr>
              <w:jc w:val="both"/>
              <w:rPr>
                <w:rFonts w:ascii="Arial" w:hAnsi="Arial" w:cs="Arial"/>
                <w:i/>
                <w:iCs/>
              </w:rPr>
            </w:pPr>
            <w:r w:rsidRPr="00DF470A">
              <w:rPr>
                <w:rFonts w:ascii="Arial" w:hAnsi="Arial" w:cs="Arial"/>
                <w:i/>
                <w:iCs/>
              </w:rPr>
              <w:t>(d)  the effect of the proposed development on the existing and likely amenity of adjoining properties,</w:t>
            </w:r>
          </w:p>
          <w:p w14:paraId="08135939" w14:textId="77777777" w:rsidR="00954CE8" w:rsidRDefault="00954CE8" w:rsidP="00AA5BA4">
            <w:pPr>
              <w:jc w:val="both"/>
              <w:rPr>
                <w:rFonts w:ascii="Arial" w:hAnsi="Arial" w:cs="Arial"/>
                <w:i/>
                <w:iCs/>
              </w:rPr>
            </w:pPr>
          </w:p>
          <w:p w14:paraId="6CFEE170" w14:textId="77777777" w:rsidR="00C92E35" w:rsidRPr="00DF470A" w:rsidRDefault="00C92E35" w:rsidP="00AA5BA4">
            <w:pPr>
              <w:jc w:val="both"/>
              <w:rPr>
                <w:rFonts w:ascii="Arial" w:hAnsi="Arial" w:cs="Arial"/>
                <w:i/>
                <w:iCs/>
              </w:rPr>
            </w:pPr>
          </w:p>
          <w:p w14:paraId="74AD5857" w14:textId="589AE96C" w:rsidR="00DA7F22" w:rsidRPr="008D774E" w:rsidRDefault="00DA7F22" w:rsidP="00AA5BA4">
            <w:pPr>
              <w:jc w:val="both"/>
              <w:rPr>
                <w:rFonts w:ascii="Arial" w:hAnsi="Arial" w:cs="Arial"/>
                <w:i/>
                <w:iCs/>
              </w:rPr>
            </w:pPr>
            <w:r w:rsidRPr="00DF470A">
              <w:rPr>
                <w:rFonts w:ascii="Arial" w:hAnsi="Arial" w:cs="Arial"/>
                <w:i/>
                <w:iCs/>
              </w:rPr>
              <w:t>(e)  the source of any fill material and the destination of any excavated material,</w:t>
            </w:r>
          </w:p>
        </w:tc>
        <w:tc>
          <w:tcPr>
            <w:tcW w:w="4032" w:type="dxa"/>
            <w:tcBorders>
              <w:top w:val="single" w:sz="4" w:space="0" w:color="FFFFFF"/>
            </w:tcBorders>
          </w:tcPr>
          <w:p w14:paraId="5A9AC90C" w14:textId="77777777" w:rsidR="00DA7F22" w:rsidRDefault="008D774E" w:rsidP="00AA5BA4">
            <w:pPr>
              <w:jc w:val="both"/>
              <w:rPr>
                <w:rFonts w:ascii="Arial" w:hAnsi="Arial" w:cs="Arial"/>
              </w:rPr>
            </w:pPr>
            <w:r w:rsidRPr="008D774E">
              <w:rPr>
                <w:rFonts w:ascii="Arial" w:hAnsi="Arial" w:cs="Arial"/>
              </w:rPr>
              <w:lastRenderedPageBreak/>
              <w:t xml:space="preserve">a) </w:t>
            </w:r>
            <w:r>
              <w:rPr>
                <w:rFonts w:ascii="Arial" w:hAnsi="Arial" w:cs="Arial"/>
              </w:rPr>
              <w:t xml:space="preserve">The application has been supported with salinity and geotechnical assessments, which have not identified any significant underlying soil structures or faults, or occurrences of ground water. </w:t>
            </w:r>
          </w:p>
          <w:p w14:paraId="7D2B52DE" w14:textId="77777777" w:rsidR="00954CE8" w:rsidRDefault="00954CE8" w:rsidP="00AA5BA4">
            <w:pPr>
              <w:jc w:val="both"/>
              <w:rPr>
                <w:rFonts w:ascii="Arial" w:hAnsi="Arial" w:cs="Arial"/>
                <w:highlight w:val="green"/>
              </w:rPr>
            </w:pPr>
          </w:p>
          <w:p w14:paraId="49F20F52" w14:textId="77777777" w:rsidR="00954CE8" w:rsidRDefault="00954CE8" w:rsidP="00AA5BA4">
            <w:pPr>
              <w:jc w:val="both"/>
              <w:rPr>
                <w:rFonts w:ascii="Arial" w:hAnsi="Arial" w:cs="Arial"/>
                <w:highlight w:val="green"/>
              </w:rPr>
            </w:pPr>
          </w:p>
          <w:p w14:paraId="24881C6E" w14:textId="77777777" w:rsidR="00954CE8" w:rsidRDefault="00954CE8" w:rsidP="00AA5BA4">
            <w:pPr>
              <w:jc w:val="both"/>
              <w:rPr>
                <w:rFonts w:ascii="Arial" w:hAnsi="Arial" w:cs="Arial"/>
                <w:highlight w:val="green"/>
              </w:rPr>
            </w:pPr>
          </w:p>
          <w:p w14:paraId="5E09F202" w14:textId="77777777" w:rsidR="00954CE8" w:rsidRDefault="00954CE8" w:rsidP="00AA5BA4">
            <w:pPr>
              <w:jc w:val="both"/>
              <w:rPr>
                <w:rFonts w:ascii="Arial" w:hAnsi="Arial" w:cs="Arial"/>
                <w:highlight w:val="green"/>
              </w:rPr>
            </w:pPr>
          </w:p>
          <w:p w14:paraId="1E179B93" w14:textId="77777777" w:rsidR="00954CE8" w:rsidRDefault="00954CE8" w:rsidP="00AA5BA4">
            <w:pPr>
              <w:jc w:val="both"/>
              <w:rPr>
                <w:rFonts w:ascii="Arial" w:hAnsi="Arial" w:cs="Arial"/>
                <w:highlight w:val="green"/>
              </w:rPr>
            </w:pPr>
          </w:p>
          <w:p w14:paraId="70BE873C" w14:textId="77777777" w:rsidR="00954CE8" w:rsidRDefault="00954CE8" w:rsidP="00AA5BA4">
            <w:pPr>
              <w:jc w:val="both"/>
              <w:rPr>
                <w:rFonts w:ascii="Arial" w:hAnsi="Arial" w:cs="Arial"/>
                <w:highlight w:val="green"/>
              </w:rPr>
            </w:pPr>
          </w:p>
          <w:p w14:paraId="3A82E777" w14:textId="77777777" w:rsidR="00954CE8" w:rsidRDefault="00954CE8" w:rsidP="00AA5BA4">
            <w:pPr>
              <w:jc w:val="both"/>
              <w:rPr>
                <w:rFonts w:ascii="Arial" w:hAnsi="Arial" w:cs="Arial"/>
              </w:rPr>
            </w:pPr>
            <w:r w:rsidRPr="00954CE8">
              <w:rPr>
                <w:rFonts w:ascii="Arial" w:hAnsi="Arial" w:cs="Arial"/>
              </w:rPr>
              <w:lastRenderedPageBreak/>
              <w:t xml:space="preserve">b) </w:t>
            </w:r>
            <w:r>
              <w:rPr>
                <w:rFonts w:ascii="Arial" w:hAnsi="Arial" w:cs="Arial"/>
              </w:rPr>
              <w:t xml:space="preserve">The earthworks (predominately excavation) are required for the formation of basements to provide carparking for residential development and for guests / patrons of the hotel development. The earthworks will facilitate development needed to enable restoration works to be undertaken to </w:t>
            </w:r>
            <w:proofErr w:type="spellStart"/>
            <w:r>
              <w:rPr>
                <w:rFonts w:ascii="Arial" w:hAnsi="Arial" w:cs="Arial"/>
              </w:rPr>
              <w:t>Studley</w:t>
            </w:r>
            <w:proofErr w:type="spellEnd"/>
            <w:r>
              <w:rPr>
                <w:rFonts w:ascii="Arial" w:hAnsi="Arial" w:cs="Arial"/>
              </w:rPr>
              <w:t xml:space="preserve"> Park House and ensure its longtime viability.</w:t>
            </w:r>
          </w:p>
          <w:p w14:paraId="70EBFCEF" w14:textId="77777777" w:rsidR="00954CE8" w:rsidRDefault="00954CE8" w:rsidP="00AA5BA4">
            <w:pPr>
              <w:jc w:val="both"/>
              <w:rPr>
                <w:rFonts w:ascii="Arial" w:hAnsi="Arial" w:cs="Arial"/>
                <w:highlight w:val="green"/>
              </w:rPr>
            </w:pPr>
          </w:p>
          <w:p w14:paraId="6F1B2A3A" w14:textId="3523F102" w:rsidR="00954CE8" w:rsidRPr="00954CE8" w:rsidRDefault="00954CE8" w:rsidP="00AA5BA4">
            <w:pPr>
              <w:jc w:val="both"/>
              <w:rPr>
                <w:rFonts w:ascii="Arial" w:hAnsi="Arial" w:cs="Arial"/>
              </w:rPr>
            </w:pPr>
            <w:r w:rsidRPr="00954CE8">
              <w:rPr>
                <w:rFonts w:ascii="Arial" w:hAnsi="Arial" w:cs="Arial"/>
              </w:rPr>
              <w:t xml:space="preserve">(c) </w:t>
            </w:r>
            <w:r>
              <w:rPr>
                <w:rFonts w:ascii="Arial" w:hAnsi="Arial" w:cs="Arial"/>
              </w:rPr>
              <w:t xml:space="preserve">It is a requirement of development consent that virgin excavated and or excavated </w:t>
            </w:r>
            <w:r w:rsidR="00B24DD4">
              <w:rPr>
                <w:rFonts w:ascii="Arial" w:hAnsi="Arial" w:cs="Arial"/>
              </w:rPr>
              <w:t xml:space="preserve">natural material may be utilised on site. </w:t>
            </w:r>
            <w:r w:rsidR="00581977">
              <w:rPr>
                <w:rFonts w:ascii="Arial" w:hAnsi="Arial" w:cs="Arial"/>
              </w:rPr>
              <w:t>Excess material to be disposed will be required to be adequately classified before it can be reused or alternatively disposed of.</w:t>
            </w:r>
          </w:p>
          <w:p w14:paraId="493E9108" w14:textId="77777777" w:rsidR="00954CE8" w:rsidRDefault="00954CE8" w:rsidP="00AA5BA4">
            <w:pPr>
              <w:jc w:val="both"/>
              <w:rPr>
                <w:rFonts w:ascii="Arial" w:hAnsi="Arial" w:cs="Arial"/>
                <w:highlight w:val="green"/>
              </w:rPr>
            </w:pPr>
          </w:p>
          <w:p w14:paraId="347867CE" w14:textId="63CE9918" w:rsidR="00954CE8" w:rsidRDefault="00954CE8" w:rsidP="00B24DD4">
            <w:pPr>
              <w:jc w:val="both"/>
              <w:rPr>
                <w:rFonts w:ascii="Arial" w:hAnsi="Arial" w:cs="Arial"/>
                <w:bCs/>
              </w:rPr>
            </w:pPr>
            <w:r w:rsidRPr="00954CE8">
              <w:rPr>
                <w:rFonts w:ascii="Arial" w:hAnsi="Arial" w:cs="Arial"/>
              </w:rPr>
              <w:t>(</w:t>
            </w:r>
            <w:r>
              <w:rPr>
                <w:rFonts w:ascii="Arial" w:hAnsi="Arial" w:cs="Arial"/>
              </w:rPr>
              <w:t>d</w:t>
            </w:r>
            <w:r w:rsidRPr="00954CE8">
              <w:rPr>
                <w:rFonts w:ascii="Arial" w:hAnsi="Arial" w:cs="Arial"/>
              </w:rPr>
              <w:t xml:space="preserve">) </w:t>
            </w:r>
            <w:r>
              <w:rPr>
                <w:rFonts w:ascii="Arial" w:hAnsi="Arial" w:cs="Arial"/>
              </w:rPr>
              <w:t xml:space="preserve">Proposed earthworks </w:t>
            </w:r>
            <w:r w:rsidRPr="00B24DD4">
              <w:rPr>
                <w:rFonts w:ascii="Arial" w:hAnsi="Arial" w:cs="Arial"/>
              </w:rPr>
              <w:t xml:space="preserve">are located </w:t>
            </w:r>
            <w:r w:rsidR="00B24DD4">
              <w:rPr>
                <w:rFonts w:ascii="Arial" w:hAnsi="Arial" w:cs="Arial"/>
              </w:rPr>
              <w:t xml:space="preserve">a sufficient distance from adjacent development </w:t>
            </w:r>
            <w:r w:rsidR="00581977">
              <w:rPr>
                <w:rFonts w:ascii="Arial" w:hAnsi="Arial" w:cs="Arial"/>
              </w:rPr>
              <w:t>(Camden Golf Course)</w:t>
            </w:r>
            <w:r w:rsidR="00C92E35">
              <w:rPr>
                <w:rFonts w:ascii="Arial" w:hAnsi="Arial" w:cs="Arial"/>
              </w:rPr>
              <w:t xml:space="preserve">, with no detrimental impacts or change to natural ground surface levels at the property boundary. </w:t>
            </w:r>
            <w:r w:rsidR="00581977">
              <w:rPr>
                <w:rFonts w:ascii="Arial" w:hAnsi="Arial" w:cs="Arial"/>
              </w:rPr>
              <w:t xml:space="preserve"> </w:t>
            </w:r>
          </w:p>
          <w:p w14:paraId="629CA72E" w14:textId="77777777" w:rsidR="00B24DD4" w:rsidRDefault="00B24DD4" w:rsidP="00B24DD4">
            <w:pPr>
              <w:jc w:val="both"/>
              <w:rPr>
                <w:rFonts w:ascii="Arial" w:hAnsi="Arial" w:cs="Arial"/>
                <w:bCs/>
                <w:highlight w:val="green"/>
              </w:rPr>
            </w:pPr>
          </w:p>
          <w:p w14:paraId="3922F166" w14:textId="64A4FC4B" w:rsidR="00B24DD4" w:rsidRPr="00B24DD4" w:rsidRDefault="00B24DD4" w:rsidP="00B24DD4">
            <w:pPr>
              <w:jc w:val="both"/>
              <w:rPr>
                <w:rFonts w:ascii="Arial" w:hAnsi="Arial" w:cs="Arial"/>
                <w:highlight w:val="green"/>
              </w:rPr>
            </w:pPr>
            <w:r w:rsidRPr="00B24DD4">
              <w:rPr>
                <w:rFonts w:ascii="Arial" w:hAnsi="Arial" w:cs="Arial"/>
              </w:rPr>
              <w:t>(e)</w:t>
            </w:r>
            <w:r>
              <w:rPr>
                <w:rFonts w:ascii="Arial" w:hAnsi="Arial" w:cs="Arial"/>
              </w:rPr>
              <w:t xml:space="preserve"> The development will result in a cut volume net balance deficit of 50,368m</w:t>
            </w:r>
            <w:r>
              <w:rPr>
                <w:rFonts w:ascii="Arial" w:hAnsi="Arial" w:cs="Arial"/>
                <w:vertAlign w:val="superscript"/>
              </w:rPr>
              <w:t>3</w:t>
            </w:r>
            <w:r>
              <w:rPr>
                <w:rFonts w:ascii="Arial" w:hAnsi="Arial" w:cs="Arial"/>
              </w:rPr>
              <w:t xml:space="preserve">. As identified above, only virgin excavated and or excavated natural material may be utilised on site. </w:t>
            </w:r>
          </w:p>
        </w:tc>
        <w:tc>
          <w:tcPr>
            <w:tcW w:w="1503" w:type="dxa"/>
            <w:tcBorders>
              <w:top w:val="single" w:sz="4" w:space="0" w:color="FFFFFF"/>
            </w:tcBorders>
          </w:tcPr>
          <w:p w14:paraId="1663C714" w14:textId="77777777" w:rsidR="00DA7F22" w:rsidRDefault="00CF0DA1" w:rsidP="00CF0DA1">
            <w:pPr>
              <w:spacing w:before="60" w:after="60"/>
              <w:jc w:val="center"/>
              <w:rPr>
                <w:rFonts w:ascii="Arial" w:hAnsi="Arial" w:cs="Arial"/>
                <w:szCs w:val="22"/>
              </w:rPr>
            </w:pPr>
            <w:r w:rsidRPr="00CF0DA1">
              <w:rPr>
                <w:rFonts w:ascii="Arial" w:hAnsi="Arial" w:cs="Arial"/>
                <w:szCs w:val="22"/>
              </w:rPr>
              <w:lastRenderedPageBreak/>
              <w:t>Yes</w:t>
            </w:r>
          </w:p>
          <w:p w14:paraId="7F84C5E9" w14:textId="77777777" w:rsidR="00581977" w:rsidRDefault="00581977" w:rsidP="00CF0DA1">
            <w:pPr>
              <w:spacing w:before="60" w:after="60"/>
              <w:jc w:val="center"/>
              <w:rPr>
                <w:rFonts w:ascii="Arial" w:hAnsi="Arial" w:cs="Arial"/>
                <w:szCs w:val="22"/>
              </w:rPr>
            </w:pPr>
          </w:p>
          <w:p w14:paraId="37C7882B" w14:textId="77777777" w:rsidR="00581977" w:rsidRDefault="00581977" w:rsidP="00CF0DA1">
            <w:pPr>
              <w:spacing w:before="60" w:after="60"/>
              <w:jc w:val="center"/>
              <w:rPr>
                <w:rFonts w:ascii="Arial" w:hAnsi="Arial" w:cs="Arial"/>
                <w:szCs w:val="22"/>
              </w:rPr>
            </w:pPr>
          </w:p>
          <w:p w14:paraId="5D6954AC" w14:textId="77777777" w:rsidR="00581977" w:rsidRDefault="00581977" w:rsidP="00CF0DA1">
            <w:pPr>
              <w:spacing w:before="60" w:after="60"/>
              <w:jc w:val="center"/>
              <w:rPr>
                <w:rFonts w:ascii="Arial" w:hAnsi="Arial" w:cs="Arial"/>
                <w:szCs w:val="22"/>
              </w:rPr>
            </w:pPr>
          </w:p>
          <w:p w14:paraId="7D5B7602" w14:textId="77777777" w:rsidR="00581977" w:rsidRDefault="00581977" w:rsidP="00CF0DA1">
            <w:pPr>
              <w:spacing w:before="60" w:after="60"/>
              <w:jc w:val="center"/>
              <w:rPr>
                <w:rFonts w:ascii="Arial" w:hAnsi="Arial" w:cs="Arial"/>
                <w:szCs w:val="22"/>
              </w:rPr>
            </w:pPr>
          </w:p>
          <w:p w14:paraId="62B6DB2D" w14:textId="77777777" w:rsidR="00581977" w:rsidRDefault="00581977" w:rsidP="00CF0DA1">
            <w:pPr>
              <w:spacing w:before="60" w:after="60"/>
              <w:jc w:val="center"/>
              <w:rPr>
                <w:rFonts w:ascii="Arial" w:hAnsi="Arial" w:cs="Arial"/>
                <w:szCs w:val="22"/>
              </w:rPr>
            </w:pPr>
          </w:p>
          <w:p w14:paraId="41593EB8" w14:textId="77777777" w:rsidR="00581977" w:rsidRDefault="00581977" w:rsidP="00CF0DA1">
            <w:pPr>
              <w:spacing w:before="60" w:after="60"/>
              <w:jc w:val="center"/>
              <w:rPr>
                <w:rFonts w:ascii="Arial" w:hAnsi="Arial" w:cs="Arial"/>
                <w:szCs w:val="22"/>
              </w:rPr>
            </w:pPr>
          </w:p>
          <w:p w14:paraId="6DE3C7AA" w14:textId="77777777" w:rsidR="00581977" w:rsidRDefault="00581977" w:rsidP="00CF0DA1">
            <w:pPr>
              <w:spacing w:before="60" w:after="60"/>
              <w:jc w:val="center"/>
              <w:rPr>
                <w:rFonts w:ascii="Arial" w:hAnsi="Arial" w:cs="Arial"/>
                <w:szCs w:val="22"/>
              </w:rPr>
            </w:pPr>
          </w:p>
          <w:p w14:paraId="17379676" w14:textId="77777777" w:rsidR="00581977" w:rsidRDefault="00581977" w:rsidP="00CF0DA1">
            <w:pPr>
              <w:spacing w:before="60" w:after="60"/>
              <w:jc w:val="center"/>
              <w:rPr>
                <w:rFonts w:ascii="Arial" w:hAnsi="Arial" w:cs="Arial"/>
                <w:szCs w:val="22"/>
              </w:rPr>
            </w:pPr>
          </w:p>
          <w:p w14:paraId="364BD325" w14:textId="77777777" w:rsidR="00581977" w:rsidRDefault="00581977" w:rsidP="00CF0DA1">
            <w:pPr>
              <w:spacing w:before="60" w:after="60"/>
              <w:jc w:val="center"/>
              <w:rPr>
                <w:rFonts w:ascii="Arial" w:hAnsi="Arial" w:cs="Arial"/>
                <w:szCs w:val="22"/>
              </w:rPr>
            </w:pPr>
            <w:r>
              <w:rPr>
                <w:rFonts w:ascii="Arial" w:hAnsi="Arial" w:cs="Arial"/>
                <w:szCs w:val="22"/>
              </w:rPr>
              <w:lastRenderedPageBreak/>
              <w:t>Yes</w:t>
            </w:r>
          </w:p>
          <w:p w14:paraId="325F36FF" w14:textId="77777777" w:rsidR="00581977" w:rsidRDefault="00581977" w:rsidP="00CF0DA1">
            <w:pPr>
              <w:spacing w:before="60" w:after="60"/>
              <w:jc w:val="center"/>
              <w:rPr>
                <w:rFonts w:ascii="Arial" w:hAnsi="Arial" w:cs="Arial"/>
                <w:szCs w:val="22"/>
              </w:rPr>
            </w:pPr>
          </w:p>
          <w:p w14:paraId="31F63824" w14:textId="77777777" w:rsidR="00581977" w:rsidRDefault="00581977" w:rsidP="00CF0DA1">
            <w:pPr>
              <w:spacing w:before="60" w:after="60"/>
              <w:jc w:val="center"/>
              <w:rPr>
                <w:rFonts w:ascii="Arial" w:hAnsi="Arial" w:cs="Arial"/>
                <w:szCs w:val="22"/>
              </w:rPr>
            </w:pPr>
          </w:p>
          <w:p w14:paraId="6E473735" w14:textId="77777777" w:rsidR="00581977" w:rsidRDefault="00581977" w:rsidP="00CF0DA1">
            <w:pPr>
              <w:spacing w:before="60" w:after="60"/>
              <w:jc w:val="center"/>
              <w:rPr>
                <w:rFonts w:ascii="Arial" w:hAnsi="Arial" w:cs="Arial"/>
                <w:szCs w:val="22"/>
              </w:rPr>
            </w:pPr>
          </w:p>
          <w:p w14:paraId="3CA99CD8" w14:textId="77777777" w:rsidR="00581977" w:rsidRDefault="00581977" w:rsidP="00CF0DA1">
            <w:pPr>
              <w:spacing w:before="60" w:after="60"/>
              <w:jc w:val="center"/>
              <w:rPr>
                <w:rFonts w:ascii="Arial" w:hAnsi="Arial" w:cs="Arial"/>
                <w:szCs w:val="22"/>
              </w:rPr>
            </w:pPr>
          </w:p>
          <w:p w14:paraId="6ECB9541" w14:textId="77777777" w:rsidR="00581977" w:rsidRDefault="00581977" w:rsidP="00CF0DA1">
            <w:pPr>
              <w:spacing w:before="60" w:after="60"/>
              <w:jc w:val="center"/>
              <w:rPr>
                <w:rFonts w:ascii="Arial" w:hAnsi="Arial" w:cs="Arial"/>
                <w:szCs w:val="22"/>
              </w:rPr>
            </w:pPr>
          </w:p>
          <w:p w14:paraId="48CBA44C" w14:textId="77777777" w:rsidR="00581977" w:rsidRDefault="00581977" w:rsidP="00CF0DA1">
            <w:pPr>
              <w:spacing w:before="60" w:after="60"/>
              <w:jc w:val="center"/>
              <w:rPr>
                <w:rFonts w:ascii="Arial" w:hAnsi="Arial" w:cs="Arial"/>
                <w:szCs w:val="22"/>
              </w:rPr>
            </w:pPr>
          </w:p>
          <w:p w14:paraId="658DB5FE" w14:textId="77777777" w:rsidR="00581977" w:rsidRDefault="00581977" w:rsidP="00CF0DA1">
            <w:pPr>
              <w:spacing w:before="60" w:after="60"/>
              <w:jc w:val="center"/>
              <w:rPr>
                <w:rFonts w:ascii="Arial" w:hAnsi="Arial" w:cs="Arial"/>
                <w:szCs w:val="22"/>
              </w:rPr>
            </w:pPr>
          </w:p>
          <w:p w14:paraId="7BEFCB51" w14:textId="77777777" w:rsidR="00581977" w:rsidRDefault="00581977" w:rsidP="00CF0DA1">
            <w:pPr>
              <w:spacing w:before="60" w:after="60"/>
              <w:jc w:val="center"/>
              <w:rPr>
                <w:rFonts w:ascii="Arial" w:hAnsi="Arial" w:cs="Arial"/>
                <w:szCs w:val="22"/>
              </w:rPr>
            </w:pPr>
            <w:r>
              <w:rPr>
                <w:rFonts w:ascii="Arial" w:hAnsi="Arial" w:cs="Arial"/>
                <w:szCs w:val="22"/>
              </w:rPr>
              <w:t>Yes</w:t>
            </w:r>
          </w:p>
          <w:p w14:paraId="7839F34A" w14:textId="77777777" w:rsidR="00581977" w:rsidRDefault="00581977" w:rsidP="00CF0DA1">
            <w:pPr>
              <w:spacing w:before="60" w:after="60"/>
              <w:jc w:val="center"/>
              <w:rPr>
                <w:rFonts w:ascii="Arial" w:hAnsi="Arial" w:cs="Arial"/>
                <w:szCs w:val="22"/>
              </w:rPr>
            </w:pPr>
          </w:p>
          <w:p w14:paraId="7EE53D65" w14:textId="77777777" w:rsidR="00581977" w:rsidRDefault="00581977" w:rsidP="00CF0DA1">
            <w:pPr>
              <w:spacing w:before="60" w:after="60"/>
              <w:jc w:val="center"/>
              <w:rPr>
                <w:rFonts w:ascii="Arial" w:hAnsi="Arial" w:cs="Arial"/>
                <w:szCs w:val="22"/>
              </w:rPr>
            </w:pPr>
          </w:p>
          <w:p w14:paraId="4D6A0114" w14:textId="77777777" w:rsidR="00581977" w:rsidRDefault="00581977" w:rsidP="00CF0DA1">
            <w:pPr>
              <w:spacing w:before="60" w:after="60"/>
              <w:jc w:val="center"/>
              <w:rPr>
                <w:rFonts w:ascii="Arial" w:hAnsi="Arial" w:cs="Arial"/>
                <w:szCs w:val="22"/>
              </w:rPr>
            </w:pPr>
          </w:p>
          <w:p w14:paraId="146516F5" w14:textId="77777777" w:rsidR="00581977" w:rsidRDefault="00581977" w:rsidP="00CF0DA1">
            <w:pPr>
              <w:spacing w:before="60" w:after="60"/>
              <w:jc w:val="center"/>
              <w:rPr>
                <w:rFonts w:ascii="Arial" w:hAnsi="Arial" w:cs="Arial"/>
                <w:szCs w:val="22"/>
              </w:rPr>
            </w:pPr>
          </w:p>
          <w:p w14:paraId="0692E9D5" w14:textId="77777777" w:rsidR="00581977" w:rsidRDefault="00581977" w:rsidP="00CF0DA1">
            <w:pPr>
              <w:spacing w:before="60" w:after="60"/>
              <w:jc w:val="center"/>
              <w:rPr>
                <w:rFonts w:ascii="Arial" w:hAnsi="Arial" w:cs="Arial"/>
                <w:szCs w:val="22"/>
              </w:rPr>
            </w:pPr>
          </w:p>
          <w:p w14:paraId="6A7B644E" w14:textId="77777777" w:rsidR="00581977" w:rsidRDefault="00581977" w:rsidP="00CF0DA1">
            <w:pPr>
              <w:spacing w:before="60" w:after="60"/>
              <w:jc w:val="center"/>
              <w:rPr>
                <w:rFonts w:ascii="Arial" w:hAnsi="Arial" w:cs="Arial"/>
                <w:szCs w:val="22"/>
              </w:rPr>
            </w:pPr>
            <w:r>
              <w:rPr>
                <w:rFonts w:ascii="Arial" w:hAnsi="Arial" w:cs="Arial"/>
                <w:szCs w:val="22"/>
              </w:rPr>
              <w:t>Yes</w:t>
            </w:r>
          </w:p>
          <w:p w14:paraId="6B5F65C7" w14:textId="77777777" w:rsidR="00581977" w:rsidRDefault="00581977" w:rsidP="00CF0DA1">
            <w:pPr>
              <w:spacing w:before="60" w:after="60"/>
              <w:jc w:val="center"/>
              <w:rPr>
                <w:rFonts w:ascii="Arial" w:hAnsi="Arial" w:cs="Arial"/>
                <w:szCs w:val="22"/>
              </w:rPr>
            </w:pPr>
          </w:p>
          <w:p w14:paraId="6ADB9642" w14:textId="77777777" w:rsidR="00581977" w:rsidRDefault="00581977" w:rsidP="00CF0DA1">
            <w:pPr>
              <w:spacing w:before="60" w:after="60"/>
              <w:jc w:val="center"/>
              <w:rPr>
                <w:rFonts w:ascii="Arial" w:hAnsi="Arial" w:cs="Arial"/>
                <w:szCs w:val="22"/>
              </w:rPr>
            </w:pPr>
          </w:p>
          <w:p w14:paraId="44FC00B3" w14:textId="77777777" w:rsidR="00581977" w:rsidRDefault="00581977" w:rsidP="00CF0DA1">
            <w:pPr>
              <w:spacing w:before="60" w:after="60"/>
              <w:jc w:val="center"/>
              <w:rPr>
                <w:rFonts w:ascii="Arial" w:hAnsi="Arial" w:cs="Arial"/>
                <w:szCs w:val="22"/>
              </w:rPr>
            </w:pPr>
          </w:p>
          <w:p w14:paraId="10B6C0F0" w14:textId="77777777" w:rsidR="00581977" w:rsidRDefault="00581977" w:rsidP="00CF0DA1">
            <w:pPr>
              <w:spacing w:before="60" w:after="60"/>
              <w:jc w:val="center"/>
              <w:rPr>
                <w:rFonts w:ascii="Arial" w:hAnsi="Arial" w:cs="Arial"/>
                <w:szCs w:val="22"/>
              </w:rPr>
            </w:pPr>
          </w:p>
          <w:p w14:paraId="7AD78968" w14:textId="77777777" w:rsidR="00C139BD" w:rsidRDefault="00C139BD" w:rsidP="00CF0DA1">
            <w:pPr>
              <w:spacing w:before="60" w:after="60"/>
              <w:jc w:val="center"/>
              <w:rPr>
                <w:rFonts w:ascii="Arial" w:hAnsi="Arial" w:cs="Arial"/>
                <w:szCs w:val="22"/>
              </w:rPr>
            </w:pPr>
          </w:p>
          <w:p w14:paraId="0C93B032" w14:textId="1D52B13F" w:rsidR="00581977" w:rsidRPr="00CF0DA1" w:rsidRDefault="00581977" w:rsidP="00CF0DA1">
            <w:pPr>
              <w:spacing w:before="60" w:after="60"/>
              <w:jc w:val="center"/>
              <w:rPr>
                <w:rFonts w:ascii="Arial" w:hAnsi="Arial" w:cs="Arial"/>
                <w:szCs w:val="22"/>
                <w:highlight w:val="green"/>
              </w:rPr>
            </w:pPr>
            <w:r>
              <w:rPr>
                <w:rFonts w:ascii="Arial" w:hAnsi="Arial" w:cs="Arial"/>
                <w:szCs w:val="22"/>
              </w:rPr>
              <w:t>Yes</w:t>
            </w:r>
          </w:p>
        </w:tc>
      </w:tr>
    </w:tbl>
    <w:p w14:paraId="3638E75F" w14:textId="77777777" w:rsidR="00C7112D" w:rsidRDefault="00C7112D"/>
    <w:sectPr w:rsidR="00C7112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8E512" w14:textId="77777777" w:rsidR="00DA7F22" w:rsidRDefault="00DA7F22" w:rsidP="00DA7F22">
      <w:pPr>
        <w:spacing w:after="0" w:line="240" w:lineRule="auto"/>
      </w:pPr>
      <w:r>
        <w:separator/>
      </w:r>
    </w:p>
  </w:endnote>
  <w:endnote w:type="continuationSeparator" w:id="0">
    <w:p w14:paraId="71C4CC86" w14:textId="77777777" w:rsidR="00DA7F22" w:rsidRDefault="00DA7F22" w:rsidP="00DA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26372" w14:textId="77777777" w:rsidR="00DA7F22" w:rsidRDefault="00DA7F22" w:rsidP="00DA7F22">
      <w:pPr>
        <w:spacing w:after="0" w:line="240" w:lineRule="auto"/>
      </w:pPr>
      <w:r>
        <w:separator/>
      </w:r>
    </w:p>
  </w:footnote>
  <w:footnote w:type="continuationSeparator" w:id="0">
    <w:p w14:paraId="7724492F" w14:textId="77777777" w:rsidR="00DA7F22" w:rsidRDefault="00DA7F22" w:rsidP="00DA7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75027" w14:textId="330C8245" w:rsidR="00DA7F22" w:rsidRPr="00161C4F" w:rsidRDefault="00DA7F22" w:rsidP="00DA7F22">
    <w:pPr>
      <w:pStyle w:val="Header"/>
      <w:jc w:val="center"/>
      <w:rPr>
        <w:rFonts w:ascii="Arial" w:hAnsi="Arial" w:cs="Arial"/>
        <w:u w:val="single"/>
      </w:rPr>
    </w:pPr>
    <w:r w:rsidRPr="00161C4F">
      <w:rPr>
        <w:rFonts w:ascii="Arial" w:hAnsi="Arial" w:cs="Arial"/>
        <w:u w:val="single"/>
      </w:rPr>
      <w:t>Camden Local Environmental Plan 2010</w:t>
    </w:r>
    <w:r w:rsidR="007C0944" w:rsidRPr="00161C4F">
      <w:rPr>
        <w:rFonts w:ascii="Arial" w:hAnsi="Arial" w:cs="Arial"/>
        <w:u w:val="single"/>
      </w:rPr>
      <w:t xml:space="preserve"> (Camden LEP) Assessment Table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91918"/>
    <w:multiLevelType w:val="hybridMultilevel"/>
    <w:tmpl w:val="C8D41064"/>
    <w:lvl w:ilvl="0" w:tplc="7A884BD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582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22"/>
    <w:rsid w:val="000D7D39"/>
    <w:rsid w:val="0014490D"/>
    <w:rsid w:val="00161C4F"/>
    <w:rsid w:val="001A112C"/>
    <w:rsid w:val="00245622"/>
    <w:rsid w:val="003532F6"/>
    <w:rsid w:val="00354054"/>
    <w:rsid w:val="00367BB1"/>
    <w:rsid w:val="003F093C"/>
    <w:rsid w:val="004D566A"/>
    <w:rsid w:val="004D5B3A"/>
    <w:rsid w:val="00581977"/>
    <w:rsid w:val="005C22B6"/>
    <w:rsid w:val="00600552"/>
    <w:rsid w:val="006807AD"/>
    <w:rsid w:val="006B6AD6"/>
    <w:rsid w:val="0072146D"/>
    <w:rsid w:val="007C0944"/>
    <w:rsid w:val="007C7D31"/>
    <w:rsid w:val="008A3CFF"/>
    <w:rsid w:val="008D774E"/>
    <w:rsid w:val="00911F14"/>
    <w:rsid w:val="00954CE8"/>
    <w:rsid w:val="009554A9"/>
    <w:rsid w:val="009A6D7B"/>
    <w:rsid w:val="00AB477A"/>
    <w:rsid w:val="00AB51B2"/>
    <w:rsid w:val="00B24DD4"/>
    <w:rsid w:val="00BA4BF4"/>
    <w:rsid w:val="00BD1C8F"/>
    <w:rsid w:val="00BD2F8B"/>
    <w:rsid w:val="00BE6678"/>
    <w:rsid w:val="00BF1EBC"/>
    <w:rsid w:val="00C139BD"/>
    <w:rsid w:val="00C7112D"/>
    <w:rsid w:val="00C92E35"/>
    <w:rsid w:val="00CF0DA1"/>
    <w:rsid w:val="00CF541F"/>
    <w:rsid w:val="00D66496"/>
    <w:rsid w:val="00D90C4F"/>
    <w:rsid w:val="00DA7F22"/>
    <w:rsid w:val="00DF0C56"/>
    <w:rsid w:val="00E43154"/>
    <w:rsid w:val="00E570BF"/>
    <w:rsid w:val="00ED20E9"/>
    <w:rsid w:val="00F65DFE"/>
    <w:rsid w:val="00F80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4668"/>
  <w15:chartTrackingRefBased/>
  <w15:docId w15:val="{7C7841F6-1F2F-4BEB-A3D0-7B1E88D5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F22"/>
    <w:rPr>
      <w:rFonts w:eastAsiaTheme="majorEastAsia" w:cstheme="majorBidi"/>
      <w:color w:val="272727" w:themeColor="text1" w:themeTint="D8"/>
    </w:rPr>
  </w:style>
  <w:style w:type="paragraph" w:styleId="Title">
    <w:name w:val="Title"/>
    <w:basedOn w:val="Normal"/>
    <w:next w:val="Normal"/>
    <w:link w:val="TitleChar"/>
    <w:uiPriority w:val="10"/>
    <w:qFormat/>
    <w:rsid w:val="00DA7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F22"/>
    <w:pPr>
      <w:spacing w:before="160"/>
      <w:jc w:val="center"/>
    </w:pPr>
    <w:rPr>
      <w:i/>
      <w:iCs/>
      <w:color w:val="404040" w:themeColor="text1" w:themeTint="BF"/>
    </w:rPr>
  </w:style>
  <w:style w:type="character" w:customStyle="1" w:styleId="QuoteChar">
    <w:name w:val="Quote Char"/>
    <w:basedOn w:val="DefaultParagraphFont"/>
    <w:link w:val="Quote"/>
    <w:uiPriority w:val="29"/>
    <w:rsid w:val="00DA7F22"/>
    <w:rPr>
      <w:i/>
      <w:iCs/>
      <w:color w:val="404040" w:themeColor="text1" w:themeTint="BF"/>
    </w:rPr>
  </w:style>
  <w:style w:type="paragraph" w:styleId="ListParagraph">
    <w:name w:val="List Paragraph"/>
    <w:basedOn w:val="Normal"/>
    <w:uiPriority w:val="34"/>
    <w:qFormat/>
    <w:rsid w:val="00DA7F22"/>
    <w:pPr>
      <w:ind w:left="720"/>
      <w:contextualSpacing/>
    </w:pPr>
  </w:style>
  <w:style w:type="character" w:styleId="IntenseEmphasis">
    <w:name w:val="Intense Emphasis"/>
    <w:basedOn w:val="DefaultParagraphFont"/>
    <w:uiPriority w:val="21"/>
    <w:qFormat/>
    <w:rsid w:val="00DA7F22"/>
    <w:rPr>
      <w:i/>
      <w:iCs/>
      <w:color w:val="0F4761" w:themeColor="accent1" w:themeShade="BF"/>
    </w:rPr>
  </w:style>
  <w:style w:type="paragraph" w:styleId="IntenseQuote">
    <w:name w:val="Intense Quote"/>
    <w:basedOn w:val="Normal"/>
    <w:next w:val="Normal"/>
    <w:link w:val="IntenseQuoteChar"/>
    <w:uiPriority w:val="30"/>
    <w:qFormat/>
    <w:rsid w:val="00DA7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F22"/>
    <w:rPr>
      <w:i/>
      <w:iCs/>
      <w:color w:val="0F4761" w:themeColor="accent1" w:themeShade="BF"/>
    </w:rPr>
  </w:style>
  <w:style w:type="character" w:styleId="IntenseReference">
    <w:name w:val="Intense Reference"/>
    <w:basedOn w:val="DefaultParagraphFont"/>
    <w:uiPriority w:val="32"/>
    <w:qFormat/>
    <w:rsid w:val="00DA7F22"/>
    <w:rPr>
      <w:b/>
      <w:bCs/>
      <w:smallCaps/>
      <w:color w:val="0F4761" w:themeColor="accent1" w:themeShade="BF"/>
      <w:spacing w:val="5"/>
    </w:rPr>
  </w:style>
  <w:style w:type="table" w:styleId="TableGrid">
    <w:name w:val="Table Grid"/>
    <w:basedOn w:val="TableNormal"/>
    <w:rsid w:val="00DA7F22"/>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heading">
    <w:name w:val="frag-heading"/>
    <w:basedOn w:val="DefaultParagraphFont"/>
    <w:rsid w:val="00DA7F22"/>
  </w:style>
  <w:style w:type="character" w:customStyle="1" w:styleId="frag-name">
    <w:name w:val="frag-name"/>
    <w:basedOn w:val="DefaultParagraphFont"/>
    <w:rsid w:val="00DA7F22"/>
  </w:style>
  <w:style w:type="paragraph" w:styleId="Header">
    <w:name w:val="header"/>
    <w:basedOn w:val="Normal"/>
    <w:link w:val="HeaderChar"/>
    <w:uiPriority w:val="99"/>
    <w:unhideWhenUsed/>
    <w:rsid w:val="00DA7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F22"/>
  </w:style>
  <w:style w:type="paragraph" w:styleId="Footer">
    <w:name w:val="footer"/>
    <w:basedOn w:val="Normal"/>
    <w:link w:val="FooterChar"/>
    <w:uiPriority w:val="99"/>
    <w:unhideWhenUsed/>
    <w:rsid w:val="00DA7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F22"/>
  </w:style>
  <w:style w:type="character" w:customStyle="1" w:styleId="frag-no">
    <w:name w:val="frag-no"/>
    <w:basedOn w:val="DefaultParagraphFont"/>
    <w:rsid w:val="006B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924186">
      <w:bodyDiv w:val="1"/>
      <w:marLeft w:val="0"/>
      <w:marRight w:val="0"/>
      <w:marTop w:val="0"/>
      <w:marBottom w:val="0"/>
      <w:divBdr>
        <w:top w:val="none" w:sz="0" w:space="0" w:color="auto"/>
        <w:left w:val="none" w:sz="0" w:space="0" w:color="auto"/>
        <w:bottom w:val="none" w:sz="0" w:space="0" w:color="auto"/>
        <w:right w:val="none" w:sz="0" w:space="0" w:color="auto"/>
      </w:divBdr>
      <w:divsChild>
        <w:div w:id="1327247900">
          <w:marLeft w:val="0"/>
          <w:marRight w:val="0"/>
          <w:marTop w:val="0"/>
          <w:marBottom w:val="0"/>
          <w:divBdr>
            <w:top w:val="none" w:sz="0" w:space="0" w:color="auto"/>
            <w:left w:val="none" w:sz="0" w:space="0" w:color="auto"/>
            <w:bottom w:val="none" w:sz="0" w:space="0" w:color="auto"/>
            <w:right w:val="none" w:sz="0" w:space="0" w:color="auto"/>
          </w:divBdr>
          <w:divsChild>
            <w:div w:id="11963139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9930700">
          <w:marLeft w:val="0"/>
          <w:marRight w:val="0"/>
          <w:marTop w:val="0"/>
          <w:marBottom w:val="0"/>
          <w:divBdr>
            <w:top w:val="none" w:sz="0" w:space="0" w:color="auto"/>
            <w:left w:val="none" w:sz="0" w:space="0" w:color="auto"/>
            <w:bottom w:val="none" w:sz="0" w:space="0" w:color="auto"/>
            <w:right w:val="none" w:sz="0" w:space="0" w:color="auto"/>
          </w:divBdr>
          <w:divsChild>
            <w:div w:id="16685515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act-1977-136" TargetMode="External"/><Relationship Id="rId3" Type="http://schemas.openxmlformats.org/officeDocument/2006/relationships/settings" Target="settings.xml"/><Relationship Id="rId7" Type="http://schemas.openxmlformats.org/officeDocument/2006/relationships/hyperlink" Target="https://www.planningportal.nsw.gov.au/publications/environmental-planning-instruments/camden-local-environmental-plan-2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islation.nsw.gov.au/view/html/inforce/current/act-1997-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2201</Words>
  <Characters>11802</Characters>
  <Application>Microsoft Office Word</Application>
  <DocSecurity>0</DocSecurity>
  <Lines>600</Lines>
  <Paragraphs>112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Poulton</dc:creator>
  <cp:keywords/>
  <dc:description/>
  <cp:lastModifiedBy>Jamie Erken</cp:lastModifiedBy>
  <cp:revision>2</cp:revision>
  <dcterms:created xsi:type="dcterms:W3CDTF">2024-11-18T20:52:00Z</dcterms:created>
  <dcterms:modified xsi:type="dcterms:W3CDTF">2024-11-18T20:52:00Z</dcterms:modified>
</cp:coreProperties>
</file>